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left w:val="none" w:color="auto" w:sz="0" w:space="0"/>
        </w:pBdr>
        <w:shd w:val="clear" w:fill="FFFFFF"/>
        <w:spacing w:after="150" w:afterAutospacing="0" w:line="690" w:lineRule="atLeast"/>
        <w:jc w:val="left"/>
        <w:rPr>
          <w:color w:val="666666"/>
          <w:sz w:val="18"/>
          <w:szCs w:val="18"/>
        </w:rPr>
      </w:pPr>
      <w:r>
        <w:rPr>
          <w:rFonts w:hint="eastAsia" w:ascii="黑体" w:hAnsi="黑体" w:eastAsia="黑体" w:cs="黑体"/>
          <w:b w:val="0"/>
          <w:bCs/>
          <w:color w:val="000000" w:themeColor="text1"/>
          <w:sz w:val="32"/>
          <w:szCs w:val="30"/>
          <w:lang w:val="en-US" w:eastAsia="zh-CN"/>
          <w14:textFill>
            <w14:solidFill>
              <w14:schemeClr w14:val="tx1"/>
            </w14:solidFill>
          </w14:textFill>
        </w:rPr>
        <w:t xml:space="preserve">                  </w:t>
      </w: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  集美工业学校</w:t>
      </w:r>
      <w:r>
        <w:rPr>
          <w:rFonts w:ascii="宋体" w:hAnsi="宋体" w:eastAsia="宋体" w:cs="宋体"/>
          <w:b w:val="0"/>
          <w:bCs/>
          <w:color w:val="auto"/>
          <w:kern w:val="0"/>
          <w:sz w:val="28"/>
          <w:szCs w:val="28"/>
          <w:shd w:val="clear" w:fill="FFFFFF"/>
          <w:lang w:val="en-US" w:eastAsia="zh-CN" w:bidi="ar"/>
        </w:rPr>
        <w:t>2022实验室安全体系建设项目</w:t>
      </w:r>
      <w:r>
        <w:rPr>
          <w:rFonts w:hint="eastAsia" w:ascii="宋体" w:hAnsi="宋体" w:cs="宋体"/>
          <w:b w:val="0"/>
          <w:bCs/>
          <w:color w:val="auto"/>
          <w:kern w:val="0"/>
          <w:sz w:val="28"/>
          <w:szCs w:val="28"/>
          <w:shd w:val="clear" w:fill="FFFFFF"/>
          <w:lang w:val="en-US" w:eastAsia="zh-CN" w:bidi="ar"/>
        </w:rPr>
        <w:t>安全检查二次报价</w:t>
      </w:r>
    </w:p>
    <w:p>
      <w:pPr>
        <w:pStyle w:val="16"/>
        <w:keepNext w:val="0"/>
        <w:keepLines w:val="0"/>
        <w:widowControl/>
        <w:suppressLineNumbers w:val="0"/>
        <w:wordWrap w:val="0"/>
        <w:spacing w:before="150" w:beforeAutospacing="0" w:after="150" w:afterAutospacing="0" w:line="240" w:lineRule="auto"/>
        <w:ind w:left="302" w:right="150" w:firstLine="560" w:firstLineChars="200"/>
        <w:jc w:val="left"/>
        <w:rPr>
          <w:color w:val="666666"/>
          <w:sz w:val="28"/>
          <w:szCs w:val="28"/>
        </w:rPr>
      </w:pPr>
      <w:r>
        <w:rPr>
          <w:rFonts w:hint="eastAsia" w:cs="宋体"/>
          <w:color w:val="666666"/>
          <w:sz w:val="28"/>
          <w:szCs w:val="28"/>
          <w:shd w:val="clear" w:fill="F4FBF6"/>
          <w:lang w:val="en-US" w:eastAsia="zh-CN"/>
        </w:rPr>
        <w:t>根据</w:t>
      </w:r>
      <w:r>
        <w:rPr>
          <w:rFonts w:ascii="宋体" w:hAnsi="宋体" w:eastAsia="宋体" w:cs="宋体"/>
          <w:color w:val="666666"/>
          <w:sz w:val="28"/>
          <w:szCs w:val="28"/>
          <w:shd w:val="clear" w:fill="F4FBF6"/>
        </w:rPr>
        <w:t>教育部办公厅关于组织开展2022年高等学校实验室安全检查工作的通知链接：</w:t>
      </w:r>
      <w:r>
        <w:rPr>
          <w:rFonts w:hint="eastAsia" w:ascii="宋体" w:hAnsi="宋体" w:eastAsia="宋体" w:cs="宋体"/>
          <w:sz w:val="28"/>
          <w:szCs w:val="28"/>
          <w:shd w:val="clear" w:fill="F4FBF6"/>
        </w:rPr>
        <w:fldChar w:fldCharType="begin"/>
      </w:r>
      <w:r>
        <w:rPr>
          <w:rFonts w:hint="eastAsia" w:ascii="宋体" w:hAnsi="宋体" w:eastAsia="宋体" w:cs="宋体"/>
          <w:sz w:val="28"/>
          <w:szCs w:val="28"/>
          <w:shd w:val="clear" w:fill="F4FBF6"/>
        </w:rPr>
        <w:instrText xml:space="preserve"> HYPERLINK "http://www.moe.gov.cn/srcsite/A03/s7050/202204/t20220406_614080.html" \t "https://www.jmgyxx.com/general/workflow/list/input_form/HiddenIframe" </w:instrText>
      </w:r>
      <w:r>
        <w:rPr>
          <w:rFonts w:hint="eastAsia" w:ascii="宋体" w:hAnsi="宋体" w:eastAsia="宋体" w:cs="宋体"/>
          <w:sz w:val="28"/>
          <w:szCs w:val="28"/>
          <w:shd w:val="clear" w:fill="F4FBF6"/>
        </w:rPr>
        <w:fldChar w:fldCharType="separate"/>
      </w:r>
      <w:r>
        <w:rPr>
          <w:rStyle w:val="25"/>
          <w:rFonts w:hint="eastAsia" w:ascii="宋体" w:hAnsi="宋体" w:eastAsia="宋体" w:cs="宋体"/>
          <w:sz w:val="28"/>
          <w:szCs w:val="28"/>
          <w:shd w:val="clear" w:fill="F4FBF6"/>
        </w:rPr>
        <w:t>http://www.moe.gov.cn/srcsite/A03/s7050/202204/t20220406_614080.html</w:t>
      </w:r>
      <w:r>
        <w:rPr>
          <w:rFonts w:hint="eastAsia" w:ascii="宋体" w:hAnsi="宋体" w:eastAsia="宋体" w:cs="宋体"/>
          <w:sz w:val="28"/>
          <w:szCs w:val="28"/>
          <w:shd w:val="clear" w:fill="F4FBF6"/>
        </w:rPr>
        <w:fldChar w:fldCharType="end"/>
      </w:r>
      <w:r>
        <w:rPr>
          <w:rFonts w:hint="eastAsia" w:ascii="宋体" w:hAnsi="宋体" w:eastAsia="宋体" w:cs="宋体"/>
          <w:color w:val="666666"/>
          <w:sz w:val="28"/>
          <w:szCs w:val="28"/>
          <w:shd w:val="clear" w:fill="F4FBF6"/>
        </w:rPr>
        <w:t xml:space="preserve"> </w:t>
      </w:r>
    </w:p>
    <w:p>
      <w:pPr>
        <w:pStyle w:val="16"/>
        <w:keepNext w:val="0"/>
        <w:keepLines w:val="0"/>
        <w:widowControl/>
        <w:suppressLineNumbers w:val="0"/>
        <w:wordWrap w:val="0"/>
        <w:spacing w:before="150" w:beforeAutospacing="0" w:after="150" w:afterAutospacing="0" w:line="240" w:lineRule="auto"/>
        <w:ind w:right="150" w:firstLine="840" w:firstLineChars="300"/>
        <w:jc w:val="left"/>
        <w:rPr>
          <w:color w:val="666666"/>
          <w:sz w:val="28"/>
          <w:szCs w:val="28"/>
        </w:rPr>
      </w:pPr>
      <w:r>
        <w:rPr>
          <w:rFonts w:hint="eastAsia" w:ascii="宋体" w:hAnsi="宋体" w:eastAsia="宋体" w:cs="宋体"/>
          <w:color w:val="666666"/>
          <w:sz w:val="28"/>
          <w:szCs w:val="28"/>
          <w:shd w:val="clear" w:fill="F4FBF6"/>
        </w:rPr>
        <w:t>具体要求：</w:t>
      </w:r>
    </w:p>
    <w:p>
      <w:pPr>
        <w:pStyle w:val="16"/>
        <w:keepNext w:val="0"/>
        <w:keepLines w:val="0"/>
        <w:widowControl/>
        <w:suppressLineNumbers w:val="0"/>
        <w:wordWrap w:val="0"/>
        <w:spacing w:before="150" w:beforeAutospacing="0" w:after="150" w:afterAutospacing="0" w:line="240" w:lineRule="auto"/>
        <w:ind w:left="302" w:right="150"/>
        <w:jc w:val="left"/>
        <w:rPr>
          <w:color w:val="666666"/>
          <w:sz w:val="28"/>
          <w:szCs w:val="28"/>
        </w:rPr>
      </w:pPr>
      <w:r>
        <w:rPr>
          <w:rFonts w:hint="eastAsia" w:ascii="宋体" w:hAnsi="宋体" w:eastAsia="宋体" w:cs="宋体"/>
          <w:color w:val="666666"/>
          <w:sz w:val="28"/>
          <w:szCs w:val="28"/>
          <w:shd w:val="clear" w:fill="F4FBF6"/>
        </w:rPr>
        <w:t xml:space="preserve">一、对照高等学校实验室安全检查项目表（2022年）条款1和条款2，协助建设学校、学院以及系层面的安全责任体系一套，实验室安全管理规章制度一套；   </w:t>
      </w:r>
    </w:p>
    <w:p>
      <w:pPr>
        <w:pStyle w:val="16"/>
        <w:keepNext w:val="0"/>
        <w:keepLines w:val="0"/>
        <w:widowControl/>
        <w:suppressLineNumbers w:val="0"/>
        <w:wordWrap w:val="0"/>
        <w:spacing w:before="150" w:beforeAutospacing="0" w:after="150" w:afterAutospacing="0" w:line="240" w:lineRule="auto"/>
        <w:ind w:left="302" w:right="150"/>
        <w:jc w:val="left"/>
        <w:rPr>
          <w:color w:val="666666"/>
          <w:sz w:val="28"/>
          <w:szCs w:val="28"/>
        </w:rPr>
      </w:pPr>
      <w:r>
        <w:rPr>
          <w:rFonts w:hint="eastAsia" w:ascii="宋体" w:hAnsi="宋体" w:eastAsia="宋体" w:cs="宋体"/>
          <w:color w:val="666666"/>
          <w:sz w:val="28"/>
          <w:szCs w:val="28"/>
          <w:shd w:val="clear" w:fill="F4FBF6"/>
        </w:rPr>
        <w:t>  二、对照高等学校实验室安全检查项目表（2022年）条款3和相关标准， 开展实验室管理及相关人员的培训和座谈四次；</w:t>
      </w:r>
    </w:p>
    <w:p>
      <w:pPr>
        <w:pStyle w:val="16"/>
        <w:keepNext w:val="0"/>
        <w:keepLines w:val="0"/>
        <w:widowControl/>
        <w:suppressLineNumbers w:val="0"/>
        <w:wordWrap w:val="0"/>
        <w:spacing w:before="150" w:beforeAutospacing="0" w:after="150" w:afterAutospacing="0" w:line="240" w:lineRule="auto"/>
        <w:ind w:left="302" w:right="150"/>
        <w:jc w:val="left"/>
        <w:rPr>
          <w:color w:val="666666"/>
          <w:sz w:val="28"/>
          <w:szCs w:val="28"/>
        </w:rPr>
      </w:pPr>
      <w:r>
        <w:rPr>
          <w:rFonts w:hint="eastAsia" w:ascii="宋体" w:hAnsi="宋体" w:eastAsia="宋体" w:cs="宋体"/>
          <w:color w:val="666666"/>
          <w:sz w:val="28"/>
          <w:szCs w:val="28"/>
          <w:shd w:val="clear" w:fill="F4FBF6"/>
        </w:rPr>
        <w:t>  三、对照高等学校实验室安全检查项目表（2022年）条款4、5、6、7、8、和12，组织实验室安全检查及指导，每学期至少一次；                          </w:t>
      </w:r>
    </w:p>
    <w:p>
      <w:pPr>
        <w:pStyle w:val="16"/>
        <w:keepNext w:val="0"/>
        <w:keepLines w:val="0"/>
        <w:widowControl/>
        <w:suppressLineNumbers w:val="0"/>
        <w:wordWrap w:val="0"/>
        <w:spacing w:before="150" w:beforeAutospacing="0" w:after="150" w:afterAutospacing="0" w:line="240" w:lineRule="auto"/>
        <w:ind w:left="302" w:right="150"/>
        <w:jc w:val="left"/>
        <w:rPr>
          <w:rFonts w:hint="eastAsia" w:ascii="宋体" w:hAnsi="宋体" w:eastAsia="宋体" w:cs="宋体"/>
          <w:color w:val="666666"/>
          <w:sz w:val="28"/>
          <w:szCs w:val="28"/>
          <w:shd w:val="clear" w:fill="F4FBF6"/>
        </w:rPr>
      </w:pPr>
      <w:r>
        <w:rPr>
          <w:rFonts w:hint="eastAsia" w:ascii="宋体" w:hAnsi="宋体" w:eastAsia="宋体" w:cs="宋体"/>
          <w:color w:val="666666"/>
          <w:sz w:val="28"/>
          <w:szCs w:val="28"/>
          <w:shd w:val="clear" w:fill="F4FBF6"/>
        </w:rPr>
        <w:t>  四、整改措施及闭环持续改进的评价，每年一次，共两次。    </w:t>
      </w:r>
    </w:p>
    <w:p>
      <w:pPr>
        <w:pStyle w:val="16"/>
        <w:keepNext w:val="0"/>
        <w:keepLines w:val="0"/>
        <w:widowControl/>
        <w:suppressLineNumbers w:val="0"/>
        <w:wordWrap w:val="0"/>
        <w:spacing w:before="150" w:beforeAutospacing="0" w:after="150" w:afterAutospacing="0" w:line="240" w:lineRule="auto"/>
        <w:ind w:left="302" w:right="150"/>
        <w:jc w:val="left"/>
        <w:rPr>
          <w:rFonts w:hint="eastAsia" w:cs="宋体"/>
          <w:color w:val="666666"/>
          <w:sz w:val="28"/>
          <w:szCs w:val="28"/>
          <w:shd w:val="clear" w:fill="F4FBF6"/>
          <w:lang w:val="en-US" w:eastAsia="zh-CN"/>
        </w:rPr>
      </w:pPr>
      <w:r>
        <w:rPr>
          <w:rFonts w:hint="eastAsia" w:cs="宋体"/>
          <w:color w:val="666666"/>
          <w:sz w:val="28"/>
          <w:szCs w:val="28"/>
          <w:shd w:val="clear" w:fill="F4FBF6"/>
          <w:lang w:val="en-US" w:eastAsia="zh-CN"/>
        </w:rPr>
        <w:t>根据文件要求安排相关专家进行检查，项目控制价</w:t>
      </w:r>
      <w:r>
        <w:rPr>
          <w:rFonts w:hint="eastAsia" w:ascii="宋体" w:hAnsi="宋体" w:eastAsia="宋体" w:cs="宋体"/>
          <w:color w:val="666666"/>
          <w:sz w:val="28"/>
          <w:szCs w:val="28"/>
          <w:shd w:val="clear" w:fill="F4FBF6"/>
          <w:lang w:val="en-US" w:eastAsia="zh-CN"/>
        </w:rPr>
        <w:t>≤</w:t>
      </w:r>
      <w:r>
        <w:rPr>
          <w:rFonts w:hint="eastAsia" w:cs="宋体"/>
          <w:color w:val="666666"/>
          <w:sz w:val="28"/>
          <w:szCs w:val="28"/>
          <w:shd w:val="clear" w:fill="F4FBF6"/>
          <w:lang w:val="en-US" w:eastAsia="zh-CN"/>
        </w:rPr>
        <w:t>80000元</w:t>
      </w:r>
    </w:p>
    <w:p>
      <w:pPr>
        <w:numPr>
          <w:ilvl w:val="0"/>
          <w:numId w:val="0"/>
        </w:numPr>
        <w:ind w:firstLine="560" w:firstLineChars="200"/>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五、报价相关要求</w:t>
      </w:r>
    </w:p>
    <w:p>
      <w:pPr>
        <w:numPr>
          <w:ilvl w:val="0"/>
          <w:numId w:val="0"/>
        </w:numPr>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rPr>
        <w:t>报价密封盖章后有效期内送到嘉庚大楼812总务处或北门门岗但需提前电话确定联系，报价有效期至</w:t>
      </w:r>
      <w:r>
        <w:rPr>
          <w:rFonts w:hint="eastAsia" w:asciiTheme="minorEastAsia" w:hAnsiTheme="minorEastAsia" w:eastAsiaTheme="minorEastAsia" w:cstheme="minorEastAsia"/>
          <w:bCs/>
          <w:color w:val="auto"/>
          <w:sz w:val="28"/>
          <w:szCs w:val="28"/>
        </w:rPr>
        <w:t>2022年</w:t>
      </w:r>
      <w:r>
        <w:rPr>
          <w:rFonts w:hint="eastAsia" w:asciiTheme="minorEastAsia" w:hAnsiTheme="minorEastAsia" w:cstheme="minorEastAsia"/>
          <w:bCs/>
          <w:color w:val="auto"/>
          <w:sz w:val="28"/>
          <w:szCs w:val="28"/>
          <w:lang w:val="en-US" w:eastAsia="zh-CN"/>
        </w:rPr>
        <w:t>7</w:t>
      </w:r>
      <w:r>
        <w:rPr>
          <w:rFonts w:hint="eastAsia" w:asciiTheme="minorEastAsia" w:hAnsiTheme="minorEastAsia" w:eastAsiaTheme="minorEastAsia" w:cstheme="minorEastAsia"/>
          <w:bCs/>
          <w:color w:val="auto"/>
          <w:sz w:val="28"/>
          <w:szCs w:val="28"/>
        </w:rPr>
        <w:t>月</w:t>
      </w:r>
      <w:r>
        <w:rPr>
          <w:rFonts w:hint="eastAsia" w:asciiTheme="minorEastAsia" w:hAnsiTheme="minorEastAsia" w:cstheme="minorEastAsia"/>
          <w:bCs/>
          <w:color w:val="auto"/>
          <w:sz w:val="28"/>
          <w:szCs w:val="28"/>
          <w:lang w:val="en-US" w:eastAsia="zh-CN"/>
        </w:rPr>
        <w:t>19</w:t>
      </w:r>
      <w:r>
        <w:rPr>
          <w:rFonts w:hint="eastAsia" w:asciiTheme="minorEastAsia" w:hAnsiTheme="minorEastAsia" w:eastAsiaTheme="minorEastAsia" w:cstheme="minorEastAsia"/>
          <w:bCs/>
          <w:color w:val="auto"/>
          <w:sz w:val="28"/>
          <w:szCs w:val="28"/>
          <w:lang w:val="en-US" w:eastAsia="zh-CN"/>
        </w:rPr>
        <w:t>日上午9点</w:t>
      </w:r>
      <w:r>
        <w:rPr>
          <w:rFonts w:hint="eastAsia" w:asciiTheme="minorEastAsia" w:hAnsiTheme="minorEastAsia" w:eastAsiaTheme="minorEastAsia" w:cstheme="minorEastAsia"/>
          <w:bCs/>
          <w:color w:val="auto"/>
          <w:sz w:val="28"/>
          <w:szCs w:val="28"/>
        </w:rPr>
        <w:t>，报价含税；</w:t>
      </w:r>
    </w:p>
    <w:p>
      <w:pPr>
        <w:numPr>
          <w:ilvl w:val="0"/>
          <w:numId w:val="0"/>
        </w:numPr>
        <w:ind w:firstLine="560" w:firstLineChars="200"/>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报价文件封口未密封盖章及报价文件封面未写项目内容的全部为无效报价；</w:t>
      </w:r>
      <w:r>
        <w:rPr>
          <w:rFonts w:hint="eastAsia" w:asciiTheme="minorEastAsia" w:hAnsiTheme="minorEastAsia" w:eastAsiaTheme="minorEastAsia" w:cstheme="minorEastAsia"/>
          <w:bCs/>
          <w:sz w:val="28"/>
          <w:szCs w:val="28"/>
          <w:lang w:val="en-US" w:eastAsia="zh-CN"/>
        </w:rPr>
        <w:t xml:space="preserve"> </w:t>
      </w:r>
    </w:p>
    <w:p>
      <w:pPr>
        <w:pStyle w:val="2"/>
        <w:ind w:firstLine="560" w:firstLineChars="200"/>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3、不接受邮寄报价；</w:t>
      </w:r>
    </w:p>
    <w:p>
      <w:pPr>
        <w:rPr>
          <w:rFonts w:hint="eastAsia"/>
          <w:lang w:val="en-US" w:eastAsia="zh-CN"/>
        </w:rPr>
      </w:pPr>
      <w:bookmarkStart w:id="3" w:name="_GoBack"/>
      <w:bookmarkEnd w:id="3"/>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报价单位：</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联系人：</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联系电话：</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集美工业学校</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联系人：方维钦  7790922</w:t>
      </w:r>
    </w:p>
    <w:p>
      <w:pPr>
        <w:ind w:firstLine="560" w:firstLineChars="20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Cs/>
          <w:sz w:val="28"/>
          <w:szCs w:val="28"/>
          <w:lang w:val="en-US" w:eastAsia="zh-CN"/>
        </w:rPr>
        <w:t xml:space="preserve">                          技术联系人：</w:t>
      </w:r>
      <w:r>
        <w:rPr>
          <w:rFonts w:hint="eastAsia" w:asciiTheme="minorEastAsia" w:hAnsiTheme="minorEastAsia" w:cstheme="minorEastAsia"/>
          <w:bCs/>
          <w:sz w:val="28"/>
          <w:szCs w:val="28"/>
          <w:lang w:val="en-US" w:eastAsia="zh-CN"/>
        </w:rPr>
        <w:t>徐老师  188 5002 8556</w:t>
      </w:r>
    </w:p>
    <w:p>
      <w:pPr>
        <w:pStyle w:val="95"/>
        <w:spacing w:line="360" w:lineRule="auto"/>
        <w:ind w:firstLine="5320" w:firstLineChars="190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2022年7月13日</w:t>
      </w:r>
    </w:p>
    <w:p>
      <w:pPr>
        <w:adjustRightInd w:val="0"/>
        <w:snapToGrid w:val="0"/>
        <w:spacing w:after="156" w:afterLines="50" w:line="500" w:lineRule="exact"/>
        <w:rPr>
          <w:rFonts w:eastAsia="仿宋"/>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附</w:t>
      </w:r>
      <w:r>
        <w:rPr>
          <w:rFonts w:hint="eastAsia" w:ascii="黑体" w:hAnsi="黑体" w:eastAsia="黑体" w:cs="黑体"/>
          <w:b w:val="0"/>
          <w:bCs/>
          <w:color w:val="000000" w:themeColor="text1"/>
          <w:sz w:val="28"/>
          <w:szCs w:val="28"/>
          <w:lang w:eastAsia="zh-CN"/>
          <w14:textFill>
            <w14:solidFill>
              <w14:schemeClr w14:val="tx1"/>
            </w14:solidFill>
          </w14:textFill>
        </w:rPr>
        <w:t>：</w:t>
      </w:r>
      <w:r>
        <w:rPr>
          <w:rFonts w:eastAsia="仿宋"/>
          <w:color w:val="000000" w:themeColor="text1"/>
          <w:sz w:val="28"/>
          <w:szCs w:val="28"/>
          <w14:textFill>
            <w14:solidFill>
              <w14:schemeClr w14:val="tx1"/>
            </w14:solidFill>
          </w14:textFill>
        </w:rPr>
        <w:t xml:space="preserve">        </w:t>
      </w:r>
    </w:p>
    <w:p>
      <w:pPr>
        <w:adjustRightInd w:val="0"/>
        <w:snapToGrid w:val="0"/>
        <w:spacing w:after="156" w:afterLines="50" w:line="500" w:lineRule="exact"/>
        <w:jc w:val="center"/>
        <w:rPr>
          <w:rFonts w:hint="eastAsia" w:ascii="方正小标宋简体" w:hAnsi="方正小标宋简体" w:eastAsia="方正小标宋简体" w:cs="方正小标宋简体"/>
          <w:b w:val="0"/>
          <w:bCs/>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28"/>
          <w:szCs w:val="28"/>
          <w14:textFill>
            <w14:solidFill>
              <w14:schemeClr w14:val="tx1"/>
            </w14:solidFill>
          </w14:textFill>
        </w:rPr>
        <w:t>高等学校实验室安全检查项目表（2022</w:t>
      </w:r>
      <w:r>
        <w:rPr>
          <w:rFonts w:hint="eastAsia" w:ascii="方正小标宋简体" w:hAnsi="方正小标宋简体" w:eastAsia="方正小标宋简体" w:cs="方正小标宋简体"/>
          <w:b w:val="0"/>
          <w:bCs/>
          <w:color w:val="000000" w:themeColor="text1"/>
          <w:sz w:val="28"/>
          <w:szCs w:val="28"/>
          <w:lang w:eastAsia="zh-CN"/>
          <w14:textFill>
            <w14:solidFill>
              <w14:schemeClr w14:val="tx1"/>
            </w14:solidFill>
          </w14:textFill>
        </w:rPr>
        <w:t>年</w:t>
      </w:r>
      <w:r>
        <w:rPr>
          <w:rFonts w:hint="eastAsia" w:ascii="方正小标宋简体" w:hAnsi="方正小标宋简体" w:eastAsia="方正小标宋简体" w:cs="方正小标宋简体"/>
          <w:b w:val="0"/>
          <w:bCs/>
          <w:color w:val="000000" w:themeColor="text1"/>
          <w:sz w:val="28"/>
          <w:szCs w:val="28"/>
          <w14:textFill>
            <w14:solidFill>
              <w14:schemeClr w14:val="tx1"/>
            </w14:solidFill>
          </w14:textFill>
        </w:rPr>
        <w:t>）</w:t>
      </w:r>
    </w:p>
    <w:p>
      <w:pPr>
        <w:pStyle w:val="16"/>
        <w:keepNext w:val="0"/>
        <w:keepLines w:val="0"/>
        <w:widowControl/>
        <w:suppressLineNumbers w:val="0"/>
        <w:wordWrap w:val="0"/>
        <w:spacing w:before="150" w:beforeAutospacing="0" w:after="150" w:afterAutospacing="0" w:line="240" w:lineRule="auto"/>
        <w:ind w:left="302" w:right="150"/>
        <w:jc w:val="left"/>
        <w:rPr>
          <w:rFonts w:hint="default" w:cs="宋体"/>
          <w:color w:val="666666"/>
          <w:sz w:val="28"/>
          <w:szCs w:val="28"/>
          <w:shd w:val="clear" w:fill="F4FBF6"/>
          <w:lang w:val="en-US" w:eastAsia="zh-CN"/>
        </w:rPr>
      </w:pPr>
    </w:p>
    <w:p>
      <w:pPr>
        <w:pStyle w:val="94"/>
        <w:rPr>
          <w:sz w:val="28"/>
          <w:szCs w:val="28"/>
        </w:rPr>
      </w:pPr>
      <w:r>
        <w:rPr>
          <w:sz w:val="28"/>
          <w:szCs w:val="28"/>
        </w:rPr>
        <w:t>窗体底端</w:t>
      </w:r>
    </w:p>
    <w:p>
      <w:pPr>
        <w:keepNext w:val="0"/>
        <w:keepLines w:val="0"/>
        <w:widowControl/>
        <w:suppressLineNumbers w:val="0"/>
        <w:pBdr>
          <w:left w:val="none" w:color="auto" w:sz="0" w:space="0"/>
        </w:pBdr>
        <w:shd w:val="clear" w:fill="FFFFFF"/>
        <w:spacing w:after="150" w:afterAutospacing="0" w:line="690" w:lineRule="atLeast"/>
        <w:jc w:val="left"/>
        <w:rPr>
          <w:rFonts w:hint="default" w:ascii="宋体" w:hAnsi="宋体" w:cs="宋体"/>
          <w:b w:val="0"/>
          <w:bCs/>
          <w:color w:val="auto"/>
          <w:kern w:val="0"/>
          <w:sz w:val="28"/>
          <w:szCs w:val="28"/>
          <w:shd w:val="clear" w:fill="FFFFFF"/>
          <w:lang w:val="en-US" w:eastAsia="zh-CN" w:bidi="ar"/>
        </w:rPr>
      </w:pPr>
    </w:p>
    <w:p>
      <w:pPr>
        <w:adjustRightInd w:val="0"/>
        <w:snapToGrid w:val="0"/>
        <w:spacing w:after="156" w:afterLines="50" w:line="500" w:lineRule="exact"/>
        <w:rPr>
          <w:rFonts w:hint="eastAsia" w:ascii="黑体" w:hAnsi="黑体" w:eastAsia="黑体" w:cs="黑体"/>
          <w:b w:val="0"/>
          <w:bCs/>
          <w:color w:val="000000" w:themeColor="text1"/>
          <w:sz w:val="28"/>
          <w:szCs w:val="28"/>
          <w14:textFill>
            <w14:solidFill>
              <w14:schemeClr w14:val="tx1"/>
            </w14:solidFill>
          </w14:textFill>
        </w:rPr>
      </w:pPr>
    </w:p>
    <w:p>
      <w:pPr>
        <w:adjustRightInd w:val="0"/>
        <w:snapToGrid w:val="0"/>
        <w:spacing w:after="156" w:afterLines="50" w:line="500" w:lineRule="exact"/>
        <w:rPr>
          <w:rFonts w:eastAsia="仿宋"/>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附件</w:t>
      </w:r>
      <w:r>
        <w:rPr>
          <w:rFonts w:eastAsia="仿宋"/>
          <w:b/>
          <w:color w:val="000000" w:themeColor="text1"/>
          <w:sz w:val="28"/>
          <w:szCs w:val="28"/>
          <w14:textFill>
            <w14:solidFill>
              <w14:schemeClr w14:val="tx1"/>
            </w14:solidFill>
          </w14:textFill>
        </w:rPr>
        <w:t xml:space="preserve"> </w:t>
      </w:r>
      <w:r>
        <w:rPr>
          <w:rFonts w:eastAsia="仿宋"/>
          <w:color w:val="000000" w:themeColor="text1"/>
          <w:sz w:val="28"/>
          <w:szCs w:val="28"/>
          <w14:textFill>
            <w14:solidFill>
              <w14:schemeClr w14:val="tx1"/>
            </w14:solidFill>
          </w14:textFill>
        </w:rPr>
        <w:t xml:space="preserve">             </w:t>
      </w:r>
    </w:p>
    <w:p>
      <w:pPr>
        <w:adjustRightInd w:val="0"/>
        <w:snapToGrid w:val="0"/>
        <w:spacing w:after="156" w:afterLines="50" w:line="500" w:lineRule="exact"/>
        <w:jc w:val="center"/>
        <w:rPr>
          <w:rFonts w:hint="eastAsia" w:ascii="方正小标宋简体" w:hAnsi="方正小标宋简体" w:eastAsia="方正小标宋简体" w:cs="方正小标宋简体"/>
          <w:b w:val="0"/>
          <w:bCs/>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28"/>
          <w:szCs w:val="28"/>
          <w14:textFill>
            <w14:solidFill>
              <w14:schemeClr w14:val="tx1"/>
            </w14:solidFill>
          </w14:textFill>
        </w:rPr>
        <w:t>高等学校实验室安全检查项目表（2022</w:t>
      </w:r>
      <w:r>
        <w:rPr>
          <w:rFonts w:hint="eastAsia" w:ascii="方正小标宋简体" w:hAnsi="方正小标宋简体" w:eastAsia="方正小标宋简体" w:cs="方正小标宋简体"/>
          <w:b w:val="0"/>
          <w:bCs/>
          <w:color w:val="000000" w:themeColor="text1"/>
          <w:sz w:val="28"/>
          <w:szCs w:val="28"/>
          <w:lang w:eastAsia="zh-CN"/>
          <w14:textFill>
            <w14:solidFill>
              <w14:schemeClr w14:val="tx1"/>
            </w14:solidFill>
          </w14:textFill>
        </w:rPr>
        <w:t>年</w:t>
      </w:r>
      <w:r>
        <w:rPr>
          <w:rFonts w:hint="eastAsia" w:ascii="方正小标宋简体" w:hAnsi="方正小标宋简体" w:eastAsia="方正小标宋简体" w:cs="方正小标宋简体"/>
          <w:b w:val="0"/>
          <w:bCs/>
          <w:color w:val="000000" w:themeColor="text1"/>
          <w:sz w:val="28"/>
          <w:szCs w:val="28"/>
          <w14:textFill>
            <w14:solidFill>
              <w14:schemeClr w14:val="tx1"/>
            </w14:solidFill>
          </w14:textFill>
        </w:rPr>
        <w:t>）</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18"/>
        <w:tblW w:w="14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w:t>
            </w:r>
            <w:r>
              <w:rPr>
                <w:rFonts w:hint="eastAsia" w:eastAsia="仿宋"/>
                <w:kern w:val="0"/>
                <w:szCs w:val="21"/>
              </w:rPr>
              <w:t>负责人</w:t>
            </w:r>
            <w:r>
              <w:rPr>
                <w:rFonts w:eastAsia="仿宋"/>
                <w:kern w:val="0"/>
                <w:szCs w:val="21"/>
              </w:rPr>
              <w:t>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rPr>
                <w:rFonts w:eastAsia="仿宋"/>
                <w:kern w:val="0"/>
                <w:szCs w:val="21"/>
              </w:rPr>
            </w:pPr>
            <w:r>
              <w:rPr>
                <w:rFonts w:hint="eastAsia" w:eastAsia="仿宋"/>
                <w:kern w:val="0"/>
                <w:szCs w:val="21"/>
              </w:rPr>
              <w:t>（4）有学校相关会议（校务会议、党委常委会</w:t>
            </w:r>
            <w:r>
              <w:rPr>
                <w:rFonts w:hint="eastAsia" w:eastAsia="仿宋"/>
                <w:kern w:val="0"/>
                <w:szCs w:val="21"/>
                <w:lang w:eastAsia="zh-CN"/>
              </w:rPr>
              <w:t>会议</w:t>
            </w:r>
            <w:r>
              <w:rPr>
                <w:rFonts w:hint="eastAsia" w:eastAsia="仿宋"/>
                <w:kern w:val="0"/>
                <w:szCs w:val="21"/>
              </w:rPr>
              <w:t>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（13）</w:t>
            </w:r>
            <w:r>
              <w:rPr>
                <w:rFonts w:hint="eastAsia" w:eastAsia="仿宋"/>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（14）有</w:t>
            </w:r>
            <w:r>
              <w:rPr>
                <w:rFonts w:hint="eastAsia" w:eastAsia="仿宋"/>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eastAsia="仿宋"/>
                <w:b/>
                <w:kern w:val="0"/>
                <w:szCs w:val="21"/>
              </w:rPr>
              <w:t>其</w:t>
            </w:r>
            <w:r>
              <w:rPr>
                <w:rFonts w:hint="eastAsia" w:eastAsia="仿宋"/>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lang w:eastAsia="zh-CN"/>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（18）有</w:t>
            </w:r>
            <w:r>
              <w:rPr>
                <w:rFonts w:hint="eastAsia" w:eastAsia="仿宋"/>
                <w:bCs/>
                <w:kern w:val="0"/>
                <w:szCs w:val="21"/>
              </w:rPr>
              <w:t>正式发文</w:t>
            </w:r>
            <w:r>
              <w:rPr>
                <w:rFonts w:eastAsia="仿宋"/>
                <w:bCs/>
                <w:kern w:val="0"/>
                <w:szCs w:val="21"/>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9）学校或职能部门依据危险源情况</w:t>
            </w:r>
            <w:r>
              <w:rPr>
                <w:rFonts w:hint="eastAsia" w:eastAsia="仿宋"/>
                <w:bCs/>
                <w:kern w:val="0"/>
                <w:szCs w:val="21"/>
              </w:rPr>
              <w:t>制定</w:t>
            </w:r>
            <w:r>
              <w:rPr>
                <w:rFonts w:eastAsia="仿宋"/>
                <w:bCs/>
                <w:kern w:val="0"/>
                <w:szCs w:val="21"/>
              </w:rPr>
              <w:t>实验室分级</w:t>
            </w:r>
            <w:r>
              <w:rPr>
                <w:rFonts w:hint="eastAsia" w:eastAsia="仿宋"/>
                <w:bCs/>
                <w:kern w:val="0"/>
                <w:szCs w:val="21"/>
              </w:rPr>
              <w:t>分类</w:t>
            </w:r>
            <w:r>
              <w:rPr>
                <w:rFonts w:eastAsia="仿宋"/>
                <w:bCs/>
                <w:kern w:val="0"/>
                <w:szCs w:val="21"/>
              </w:rPr>
              <w:t>、准入管理、安全检查、奖惩，以及</w:t>
            </w:r>
            <w:r>
              <w:rPr>
                <w:rFonts w:hint="eastAsia" w:eastAsia="仿宋"/>
                <w:bCs/>
                <w:kern w:val="0"/>
                <w:szCs w:val="21"/>
              </w:rPr>
              <w:t>各类专业安全</w:t>
            </w:r>
            <w:r>
              <w:rPr>
                <w:rFonts w:eastAsia="仿宋"/>
                <w:bCs/>
                <w:kern w:val="0"/>
                <w:szCs w:val="21"/>
              </w:rPr>
              <w:t>等二级管理办法</w:t>
            </w:r>
            <w:r>
              <w:rPr>
                <w:rFonts w:hint="eastAsia" w:eastAsia="仿宋"/>
                <w:bCs/>
                <w:kern w:val="0"/>
                <w:szCs w:val="21"/>
              </w:rPr>
              <w:t>，并正式发文；</w:t>
            </w:r>
          </w:p>
          <w:p>
            <w:pPr>
              <w:spacing w:line="300" w:lineRule="exact"/>
              <w:rPr>
                <w:rFonts w:eastAsia="仿宋"/>
                <w:bCs/>
                <w:kern w:val="0"/>
                <w:szCs w:val="21"/>
              </w:rPr>
            </w:pPr>
            <w:r>
              <w:rPr>
                <w:rFonts w:eastAsia="仿宋"/>
                <w:bCs/>
                <w:kern w:val="0"/>
                <w:szCs w:val="21"/>
              </w:rPr>
              <w:t>（20）有校级的实验室安全事故应急处置预案</w:t>
            </w:r>
            <w:r>
              <w:rPr>
                <w:rFonts w:hint="eastAsia" w:eastAsia="仿宋"/>
                <w:bCs/>
                <w:kern w:val="0"/>
                <w:szCs w:val="21"/>
              </w:rPr>
              <w:t>，并正式发文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lang w:eastAsia="zh-CN"/>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lang w:eastAsia="zh-CN"/>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66</w:t>
            </w:r>
            <w:r>
              <w:rPr>
                <w:rFonts w:hint="eastAsia" w:eastAsia="仿宋"/>
                <w:color w:val="auto"/>
                <w:kern w:val="0"/>
                <w:szCs w:val="21"/>
              </w:rPr>
              <w:t>）</w:t>
            </w:r>
            <w:r>
              <w:rPr>
                <w:rFonts w:eastAsia="仿宋"/>
                <w:color w:val="auto"/>
                <w:kern w:val="0"/>
                <w:szCs w:val="21"/>
              </w:rPr>
              <w:t>委托有危险废物处置资质的专业厂家集中处置化学废弃物</w:t>
            </w:r>
            <w:r>
              <w:rPr>
                <w:rFonts w:hint="eastAsia" w:eastAsia="仿宋"/>
                <w:color w:val="auto"/>
                <w:kern w:val="0"/>
                <w:szCs w:val="21"/>
              </w:rPr>
              <w:t>，查看协议；</w:t>
            </w:r>
          </w:p>
          <w:p>
            <w:pPr>
              <w:widowControl/>
              <w:rPr>
                <w:rFonts w:eastAsia="仿宋"/>
                <w:color w:val="auto"/>
                <w:kern w:val="0"/>
                <w:szCs w:val="21"/>
              </w:rPr>
            </w:pPr>
            <w:r>
              <w:rPr>
                <w:rFonts w:hint="eastAsia" w:eastAsia="仿宋"/>
                <w:color w:val="auto"/>
                <w:kern w:val="0"/>
                <w:szCs w:val="21"/>
              </w:rPr>
              <w:t>（</w:t>
            </w:r>
            <w:r>
              <w:rPr>
                <w:rFonts w:eastAsia="仿宋"/>
                <w:color w:val="auto"/>
                <w:kern w:val="0"/>
                <w:szCs w:val="21"/>
              </w:rPr>
              <w:t>167</w:t>
            </w:r>
            <w:r>
              <w:rPr>
                <w:rFonts w:hint="eastAsia" w:eastAsia="仿宋"/>
                <w:color w:val="auto"/>
                <w:kern w:val="0"/>
                <w:szCs w:val="21"/>
              </w:rPr>
              <w:t>）</w:t>
            </w:r>
            <w:r>
              <w:rPr>
                <w:rFonts w:eastAsia="仿宋"/>
                <w:bCs/>
                <w:color w:val="auto"/>
                <w:kern w:val="0"/>
                <w:szCs w:val="21"/>
              </w:rPr>
              <w:t>建立危险废物管理台账</w:t>
            </w:r>
            <w:r>
              <w:rPr>
                <w:rFonts w:eastAsia="仿宋"/>
                <w:color w:val="auto"/>
                <w:kern w:val="0"/>
                <w:szCs w:val="21"/>
              </w:rPr>
              <w:t>，如实记录有关信息，包括种类、产生量、流向、贮存、处置等有关资料；</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68</w:t>
            </w:r>
            <w:r>
              <w:rPr>
                <w:rFonts w:hint="eastAsia" w:eastAsia="仿宋"/>
                <w:color w:val="auto"/>
                <w:kern w:val="0"/>
                <w:szCs w:val="21"/>
              </w:rPr>
              <w:t>）</w:t>
            </w:r>
            <w:r>
              <w:rPr>
                <w:rFonts w:eastAsia="仿宋"/>
                <w:color w:val="auto"/>
                <w:kern w:val="0"/>
                <w:szCs w:val="21"/>
              </w:rPr>
              <w:t>校外转运之前，贮存站必须妥善管理实验室危险废物，采取有效措施，防止废物的</w:t>
            </w:r>
            <w:r>
              <w:rPr>
                <w:rFonts w:hint="eastAsia" w:eastAsia="仿宋"/>
                <w:color w:val="auto"/>
                <w:kern w:val="0"/>
                <w:szCs w:val="21"/>
              </w:rPr>
              <w:t>扬</w:t>
            </w:r>
            <w:r>
              <w:rPr>
                <w:rFonts w:eastAsia="仿宋"/>
                <w:color w:val="auto"/>
                <w:kern w:val="0"/>
                <w:szCs w:val="21"/>
              </w:rPr>
              <w:t>散、流失、渗漏或</w:t>
            </w:r>
            <w:r>
              <w:rPr>
                <w:rFonts w:hint="eastAsia" w:eastAsia="仿宋"/>
                <w:color w:val="auto"/>
                <w:kern w:val="0"/>
                <w:szCs w:val="21"/>
              </w:rPr>
              <w:t>其他环境污染；</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69</w:t>
            </w:r>
            <w:r>
              <w:rPr>
                <w:rFonts w:hint="eastAsia" w:eastAsia="仿宋"/>
                <w:color w:val="auto"/>
                <w:kern w:val="0"/>
                <w:szCs w:val="21"/>
              </w:rPr>
              <w:t>）</w:t>
            </w:r>
            <w:r>
              <w:rPr>
                <w:rFonts w:eastAsia="仿宋"/>
                <w:color w:val="auto"/>
                <w:kern w:val="0"/>
                <w:szCs w:val="21"/>
              </w:rPr>
              <w:t>转运人员应使用专用运输工具，运输前根据运输废物的危险特性，应携带必要的应急物资和个人防护用具，如收集工具、手套、口罩等；</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70</w:t>
            </w:r>
            <w:r>
              <w:rPr>
                <w:rFonts w:hint="eastAsia" w:eastAsia="仿宋"/>
                <w:color w:val="auto"/>
                <w:kern w:val="0"/>
                <w:szCs w:val="21"/>
              </w:rPr>
              <w:t>）</w:t>
            </w:r>
            <w:r>
              <w:rPr>
                <w:rFonts w:eastAsia="仿宋"/>
                <w:color w:val="auto"/>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color w:val="auto"/>
                <w:kern w:val="0"/>
                <w:szCs w:val="21"/>
              </w:rPr>
            </w:pPr>
            <w:r>
              <w:rPr>
                <w:rFonts w:hint="eastAsia" w:eastAsia="仿宋"/>
                <w:bCs/>
                <w:color w:val="auto"/>
                <w:kern w:val="0"/>
                <w:szCs w:val="21"/>
              </w:rPr>
              <w:t>（1</w:t>
            </w:r>
            <w:r>
              <w:rPr>
                <w:rFonts w:eastAsia="仿宋"/>
                <w:bCs/>
                <w:color w:val="auto"/>
                <w:kern w:val="0"/>
                <w:szCs w:val="21"/>
              </w:rPr>
              <w:t>71</w:t>
            </w:r>
            <w:r>
              <w:rPr>
                <w:rFonts w:hint="eastAsia" w:eastAsia="仿宋"/>
                <w:bCs/>
                <w:color w:val="auto"/>
                <w:kern w:val="0"/>
                <w:szCs w:val="21"/>
              </w:rPr>
              <w:t>）</w:t>
            </w:r>
            <w:r>
              <w:rPr>
                <w:rFonts w:eastAsia="仿宋"/>
                <w:bCs/>
                <w:color w:val="auto"/>
                <w:kern w:val="0"/>
                <w:szCs w:val="21"/>
              </w:rPr>
              <w:t>制定意外事故的防范措施和应急预案</w:t>
            </w:r>
            <w:r>
              <w:rPr>
                <w:rFonts w:eastAsia="仿宋"/>
                <w:color w:val="auto"/>
                <w:kern w:val="0"/>
                <w:szCs w:val="21"/>
              </w:rPr>
              <w:t>，并向所在地生态环境主管部门</w:t>
            </w:r>
            <w:r>
              <w:rPr>
                <w:rFonts w:eastAsia="仿宋"/>
                <w:bCs/>
                <w:color w:val="auto"/>
                <w:kern w:val="0"/>
                <w:szCs w:val="21"/>
              </w:rPr>
              <w:t>备案；</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72</w:t>
            </w:r>
            <w:r>
              <w:rPr>
                <w:rFonts w:hint="eastAsia" w:eastAsia="仿宋"/>
                <w:color w:val="auto"/>
                <w:kern w:val="0"/>
                <w:szCs w:val="21"/>
              </w:rPr>
              <w:t>）</w:t>
            </w:r>
            <w:r>
              <w:rPr>
                <w:rFonts w:eastAsia="仿宋"/>
                <w:color w:val="auto"/>
                <w:kern w:val="0"/>
                <w:szCs w:val="21"/>
              </w:rPr>
              <w:t>贮存站应有具体的管理办法并将贮存站安全运行、实验室危险废物出站转运等日常管理工作落实到相关人员的岗位职责中；</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73</w:t>
            </w:r>
            <w:r>
              <w:rPr>
                <w:rFonts w:hint="eastAsia" w:eastAsia="仿宋"/>
                <w:color w:val="auto"/>
                <w:kern w:val="0"/>
                <w:szCs w:val="21"/>
              </w:rPr>
              <w:t>）</w:t>
            </w:r>
            <w:r>
              <w:rPr>
                <w:rFonts w:eastAsia="仿宋"/>
                <w:color w:val="auto"/>
                <w:kern w:val="0"/>
                <w:szCs w:val="21"/>
              </w:rPr>
              <w:t>贮存</w:t>
            </w:r>
            <w:r>
              <w:rPr>
                <w:rFonts w:eastAsia="仿宋"/>
                <w:bCs/>
                <w:color w:val="auto"/>
                <w:kern w:val="0"/>
                <w:szCs w:val="21"/>
              </w:rPr>
              <w:t>设施、场所</w:t>
            </w:r>
            <w:r>
              <w:rPr>
                <w:rFonts w:eastAsia="仿宋"/>
                <w:color w:val="auto"/>
                <w:kern w:val="0"/>
                <w:szCs w:val="21"/>
              </w:rPr>
              <w:t>应当按照规定</w:t>
            </w:r>
            <w:r>
              <w:rPr>
                <w:rFonts w:eastAsia="仿宋"/>
                <w:bCs/>
                <w:color w:val="auto"/>
                <w:kern w:val="0"/>
                <w:szCs w:val="21"/>
              </w:rPr>
              <w:t>设置危险废物识别标志</w:t>
            </w:r>
            <w:r>
              <w:rPr>
                <w:rFonts w:eastAsia="仿宋"/>
                <w:color w:val="auto"/>
                <w:kern w:val="0"/>
                <w:szCs w:val="21"/>
              </w:rPr>
              <w:t>；</w:t>
            </w:r>
          </w:p>
          <w:p>
            <w:pPr>
              <w:widowControl/>
              <w:rPr>
                <w:rFonts w:hint="eastAsia" w:eastAsia="仿宋"/>
                <w:color w:val="auto"/>
                <w:kern w:val="0"/>
                <w:szCs w:val="21"/>
              </w:rPr>
            </w:pPr>
            <w:r>
              <w:rPr>
                <w:rFonts w:hint="eastAsia" w:eastAsia="仿宋"/>
                <w:color w:val="auto"/>
                <w:kern w:val="0"/>
                <w:szCs w:val="21"/>
              </w:rPr>
              <w:t>（1</w:t>
            </w:r>
            <w:r>
              <w:rPr>
                <w:rFonts w:eastAsia="仿宋"/>
                <w:color w:val="auto"/>
                <w:kern w:val="0"/>
                <w:szCs w:val="21"/>
              </w:rPr>
              <w:t>74</w:t>
            </w:r>
            <w:r>
              <w:rPr>
                <w:rFonts w:hint="eastAsia" w:eastAsia="仿宋"/>
                <w:color w:val="auto"/>
                <w:kern w:val="0"/>
                <w:szCs w:val="21"/>
              </w:rPr>
              <w:t>）</w:t>
            </w:r>
            <w:r>
              <w:rPr>
                <w:rFonts w:eastAsia="仿宋"/>
                <w:color w:val="auto"/>
                <w:kern w:val="0"/>
                <w:szCs w:val="21"/>
              </w:rPr>
              <w:t>贮存站管理员须作好实验室危险废物</w:t>
            </w:r>
            <w:r>
              <w:rPr>
                <w:rFonts w:hint="eastAsia" w:eastAsia="仿宋"/>
                <w:color w:val="auto"/>
                <w:kern w:val="0"/>
                <w:szCs w:val="21"/>
              </w:rPr>
              <w:t>收集及外送</w:t>
            </w:r>
            <w:r>
              <w:rPr>
                <w:rFonts w:eastAsia="仿宋"/>
                <w:color w:val="auto"/>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w:t>
            </w:r>
            <w:r>
              <w:rPr>
                <w:rFonts w:eastAsia="仿宋"/>
                <w:szCs w:val="21"/>
              </w:rPr>
              <w:t>77</w:t>
            </w:r>
            <w:r>
              <w:rPr>
                <w:rFonts w:hint="eastAsia" w:eastAsia="仿宋"/>
                <w:szCs w:val="21"/>
              </w:rPr>
              <w:t>）</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lang w:eastAsia="zh-CN"/>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9"/>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7"/>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9"/>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06</w:t>
            </w:r>
            <w:r>
              <w:rPr>
                <w:rFonts w:hint="eastAsia" w:eastAsia="仿宋"/>
                <w:kern w:val="0"/>
                <w:szCs w:val="21"/>
              </w:rPr>
              <w:t>）</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9"/>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lang w:eastAsia="zh-CN"/>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BCB0308"/>
    <w:rsid w:val="5CF01AC2"/>
    <w:rsid w:val="5D2A34F6"/>
    <w:rsid w:val="5D4E5899"/>
    <w:rsid w:val="5EAF3AF3"/>
    <w:rsid w:val="60895EF6"/>
    <w:rsid w:val="612748DD"/>
    <w:rsid w:val="61E51EA2"/>
    <w:rsid w:val="61F21163"/>
    <w:rsid w:val="63F60F25"/>
    <w:rsid w:val="65B37642"/>
    <w:rsid w:val="679612FA"/>
    <w:rsid w:val="68CE4C4D"/>
    <w:rsid w:val="69955344"/>
    <w:rsid w:val="6A794FEC"/>
    <w:rsid w:val="6B5A63A7"/>
    <w:rsid w:val="6B6507A9"/>
    <w:rsid w:val="6CB0467D"/>
    <w:rsid w:val="6F376AE5"/>
    <w:rsid w:val="6F581245"/>
    <w:rsid w:val="70A8632E"/>
    <w:rsid w:val="70E015B7"/>
    <w:rsid w:val="745F373B"/>
    <w:rsid w:val="747B6D6D"/>
    <w:rsid w:val="75171DCD"/>
    <w:rsid w:val="78A2429F"/>
    <w:rsid w:val="7A7D47A3"/>
    <w:rsid w:val="7D7479DB"/>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qFormat="1"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53"/>
    <w:qFormat/>
    <w:uiPriority w:val="0"/>
    <w:pPr>
      <w:spacing w:line="380" w:lineRule="exact"/>
    </w:pPr>
    <w:rPr>
      <w:rFonts w:eastAsia="仿宋_GB2312"/>
      <w:sz w:val="28"/>
      <w:szCs w:val="20"/>
    </w:rPr>
  </w:style>
  <w:style w:type="paragraph" w:styleId="5">
    <w:name w:val="caption"/>
    <w:basedOn w:val="1"/>
    <w:next w:val="1"/>
    <w:qFormat/>
    <w:uiPriority w:val="0"/>
    <w:pPr>
      <w:spacing w:before="152" w:after="160" w:line="460" w:lineRule="exact"/>
    </w:pPr>
    <w:rPr>
      <w:rFonts w:ascii="Arial" w:hAnsi="Arial" w:eastAsia="黑体"/>
      <w:szCs w:val="20"/>
    </w:rPr>
  </w:style>
  <w:style w:type="paragraph" w:styleId="6">
    <w:name w:val="Document Map"/>
    <w:basedOn w:val="1"/>
    <w:link w:val="55"/>
    <w:semiHidden/>
    <w:qFormat/>
    <w:uiPriority w:val="0"/>
    <w:rPr>
      <w:rFonts w:ascii="宋体"/>
      <w:kern w:val="0"/>
      <w:sz w:val="18"/>
      <w:szCs w:val="18"/>
    </w:rPr>
  </w:style>
  <w:style w:type="paragraph" w:styleId="7">
    <w:name w:val="annotation text"/>
    <w:basedOn w:val="1"/>
    <w:link w:val="49"/>
    <w:qFormat/>
    <w:uiPriority w:val="99"/>
    <w:pPr>
      <w:spacing w:line="460" w:lineRule="exact"/>
      <w:jc w:val="left"/>
    </w:pPr>
    <w:rPr>
      <w:rFonts w:ascii="Calibri" w:hAnsi="Calibri"/>
      <w:szCs w:val="21"/>
    </w:rPr>
  </w:style>
  <w:style w:type="paragraph" w:styleId="8">
    <w:name w:val="Body Text Indent"/>
    <w:basedOn w:val="1"/>
    <w:link w:val="42"/>
    <w:qFormat/>
    <w:uiPriority w:val="0"/>
    <w:pPr>
      <w:spacing w:line="460" w:lineRule="exact"/>
      <w:ind w:firstLine="630"/>
    </w:pPr>
    <w:rPr>
      <w:rFonts w:ascii="仿宋_GB2312" w:eastAsia="仿宋_GB2312"/>
      <w:sz w:val="32"/>
      <w:szCs w:val="20"/>
    </w:rPr>
  </w:style>
  <w:style w:type="paragraph" w:styleId="9">
    <w:name w:val="Plain Text"/>
    <w:basedOn w:val="1"/>
    <w:link w:val="48"/>
    <w:qFormat/>
    <w:uiPriority w:val="0"/>
    <w:pPr>
      <w:spacing w:line="460" w:lineRule="exact"/>
    </w:pPr>
    <w:rPr>
      <w:rFonts w:ascii="宋体" w:hAnsi="Courier New"/>
      <w:szCs w:val="20"/>
    </w:rPr>
  </w:style>
  <w:style w:type="paragraph" w:styleId="10">
    <w:name w:val="Date"/>
    <w:basedOn w:val="1"/>
    <w:next w:val="1"/>
    <w:link w:val="52"/>
    <w:qFormat/>
    <w:uiPriority w:val="0"/>
    <w:pPr>
      <w:ind w:left="100" w:leftChars="2500"/>
    </w:pPr>
    <w:rPr>
      <w:kern w:val="0"/>
      <w:sz w:val="24"/>
    </w:rPr>
  </w:style>
  <w:style w:type="paragraph" w:styleId="11">
    <w:name w:val="Body Text Indent 2"/>
    <w:basedOn w:val="1"/>
    <w:link w:val="46"/>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7"/>
    <w:semiHidden/>
    <w:qFormat/>
    <w:uiPriority w:val="0"/>
    <w:rPr>
      <w:kern w:val="0"/>
      <w:sz w:val="18"/>
      <w:szCs w:val="18"/>
    </w:rPr>
  </w:style>
  <w:style w:type="paragraph" w:styleId="13">
    <w:name w:val="footer"/>
    <w:basedOn w:val="1"/>
    <w:link w:val="54"/>
    <w:qFormat/>
    <w:uiPriority w:val="99"/>
    <w:pPr>
      <w:tabs>
        <w:tab w:val="center" w:pos="4153"/>
        <w:tab w:val="right" w:pos="8306"/>
      </w:tabs>
      <w:snapToGrid w:val="0"/>
      <w:jc w:val="left"/>
    </w:pPr>
    <w:rPr>
      <w:kern w:val="0"/>
      <w:sz w:val="18"/>
      <w:szCs w:val="18"/>
    </w:rPr>
  </w:style>
  <w:style w:type="paragraph" w:styleId="14">
    <w:name w:val="header"/>
    <w:basedOn w:val="1"/>
    <w:link w:val="5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4"/>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7"/>
    <w:next w:val="7"/>
    <w:link w:val="56"/>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TML Definition"/>
    <w:basedOn w:val="20"/>
    <w:semiHidden/>
    <w:unhideWhenUsed/>
    <w:qFormat/>
    <w:uiPriority w:val="0"/>
    <w:rPr>
      <w:i/>
    </w:rPr>
  </w:style>
  <w:style w:type="character" w:styleId="25">
    <w:name w:val="Hyperlink"/>
    <w:qFormat/>
    <w:uiPriority w:val="0"/>
    <w:rPr>
      <w:rFonts w:cs="Times New Roman"/>
      <w:color w:val="1B227E"/>
      <w:u w:val="none"/>
    </w:rPr>
  </w:style>
  <w:style w:type="character" w:styleId="26">
    <w:name w:val="HTML Code"/>
    <w:basedOn w:val="20"/>
    <w:semiHidden/>
    <w:unhideWhenUsed/>
    <w:uiPriority w:val="0"/>
    <w:rPr>
      <w:rFonts w:hint="default" w:ascii="serif" w:hAnsi="serif" w:eastAsia="serif" w:cs="serif"/>
      <w:sz w:val="21"/>
      <w:szCs w:val="21"/>
    </w:rPr>
  </w:style>
  <w:style w:type="character" w:styleId="27">
    <w:name w:val="annotation reference"/>
    <w:semiHidden/>
    <w:qFormat/>
    <w:uiPriority w:val="99"/>
    <w:rPr>
      <w:rFonts w:cs="Times New Roman"/>
      <w:sz w:val="21"/>
      <w:szCs w:val="21"/>
    </w:rPr>
  </w:style>
  <w:style w:type="character" w:styleId="28">
    <w:name w:val="footnote reference"/>
    <w:semiHidden/>
    <w:qFormat/>
    <w:uiPriority w:val="0"/>
    <w:rPr>
      <w:rFonts w:cs="Times New Roman"/>
      <w:vertAlign w:val="superscript"/>
    </w:rPr>
  </w:style>
  <w:style w:type="character" w:styleId="29">
    <w:name w:val="HTML Keyboard"/>
    <w:basedOn w:val="20"/>
    <w:semiHidden/>
    <w:unhideWhenUsed/>
    <w:uiPriority w:val="0"/>
    <w:rPr>
      <w:rFonts w:ascii="serif" w:hAnsi="serif" w:eastAsia="serif" w:cs="serif"/>
      <w:sz w:val="21"/>
      <w:szCs w:val="21"/>
    </w:rPr>
  </w:style>
  <w:style w:type="character" w:styleId="30">
    <w:name w:val="HTML Sample"/>
    <w:basedOn w:val="20"/>
    <w:semiHidden/>
    <w:unhideWhenUsed/>
    <w:qFormat/>
    <w:uiPriority w:val="0"/>
    <w:rPr>
      <w:rFonts w:hint="default" w:ascii="serif" w:hAnsi="serif" w:eastAsia="serif" w:cs="serif"/>
      <w:sz w:val="21"/>
      <w:szCs w:val="21"/>
    </w:rPr>
  </w:style>
  <w:style w:type="paragraph" w:customStyle="1" w:styleId="31">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3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33">
    <w:name w:val="修订1"/>
    <w:qFormat/>
    <w:uiPriority w:val="0"/>
    <w:rPr>
      <w:rFonts w:ascii="Times New Roman" w:hAnsi="Times New Roman" w:eastAsia="宋体" w:cs="Times New Roman"/>
      <w:kern w:val="2"/>
      <w:sz w:val="21"/>
      <w:szCs w:val="24"/>
      <w:lang w:val="en-US" w:eastAsia="zh-CN" w:bidi="ar-SA"/>
    </w:rPr>
  </w:style>
  <w:style w:type="paragraph" w:customStyle="1" w:styleId="34">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5">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6">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7">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8">
    <w:name w:val="列出段落1"/>
    <w:basedOn w:val="1"/>
    <w:qFormat/>
    <w:uiPriority w:val="0"/>
    <w:pPr>
      <w:ind w:firstLine="420" w:firstLineChars="200"/>
    </w:pPr>
  </w:style>
  <w:style w:type="paragraph" w:customStyle="1" w:styleId="39">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40">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41">
    <w:name w:val="标题 1 字符"/>
    <w:link w:val="3"/>
    <w:qFormat/>
    <w:locked/>
    <w:uiPriority w:val="0"/>
    <w:rPr>
      <w:rFonts w:cs="Times New Roman"/>
      <w:b/>
      <w:bCs/>
      <w:kern w:val="44"/>
      <w:sz w:val="44"/>
      <w:szCs w:val="44"/>
    </w:rPr>
  </w:style>
  <w:style w:type="character" w:customStyle="1" w:styleId="42">
    <w:name w:val="正文文本缩进 字符"/>
    <w:link w:val="8"/>
    <w:qFormat/>
    <w:locked/>
    <w:uiPriority w:val="0"/>
    <w:rPr>
      <w:rFonts w:ascii="仿宋_GB2312" w:eastAsia="仿宋_GB2312" w:cs="Times New Roman"/>
      <w:kern w:val="2"/>
      <w:sz w:val="32"/>
    </w:rPr>
  </w:style>
  <w:style w:type="character" w:customStyle="1" w:styleId="43">
    <w:name w:val="标题 2 字符"/>
    <w:link w:val="4"/>
    <w:qFormat/>
    <w:locked/>
    <w:uiPriority w:val="0"/>
    <w:rPr>
      <w:rFonts w:ascii="宋体" w:eastAsia="宋体" w:cs="Times New Roman"/>
      <w:b/>
      <w:bCs/>
      <w:sz w:val="36"/>
      <w:szCs w:val="36"/>
    </w:rPr>
  </w:style>
  <w:style w:type="character" w:customStyle="1" w:styleId="44">
    <w:name w:val="正文文本缩进 3 字符"/>
    <w:link w:val="15"/>
    <w:qFormat/>
    <w:locked/>
    <w:uiPriority w:val="0"/>
    <w:rPr>
      <w:rFonts w:ascii="宋体" w:eastAsia="宋体" w:cs="Times New Roman"/>
      <w:sz w:val="21"/>
      <w:szCs w:val="21"/>
    </w:rPr>
  </w:style>
  <w:style w:type="character" w:customStyle="1" w:styleId="45">
    <w:name w:val="edited2"/>
    <w:qFormat/>
    <w:uiPriority w:val="0"/>
    <w:rPr>
      <w:rFonts w:cs="Times New Roman"/>
    </w:rPr>
  </w:style>
  <w:style w:type="character" w:customStyle="1" w:styleId="46">
    <w:name w:val="正文文本缩进 2 字符"/>
    <w:link w:val="11"/>
    <w:qFormat/>
    <w:locked/>
    <w:uiPriority w:val="0"/>
    <w:rPr>
      <w:rFonts w:ascii="仿宋_GB2312" w:eastAsia="仿宋_GB2312" w:cs="Times New Roman"/>
      <w:sz w:val="28"/>
    </w:rPr>
  </w:style>
  <w:style w:type="character" w:customStyle="1" w:styleId="47">
    <w:name w:val="high-light-bg4"/>
    <w:qFormat/>
    <w:uiPriority w:val="0"/>
    <w:rPr>
      <w:rFonts w:cs="Times New Roman"/>
    </w:rPr>
  </w:style>
  <w:style w:type="character" w:customStyle="1" w:styleId="48">
    <w:name w:val="纯文本 字符"/>
    <w:link w:val="9"/>
    <w:qFormat/>
    <w:locked/>
    <w:uiPriority w:val="0"/>
    <w:rPr>
      <w:rFonts w:ascii="宋体" w:hAnsi="Courier New" w:cs="Times New Roman"/>
      <w:kern w:val="2"/>
      <w:sz w:val="21"/>
    </w:rPr>
  </w:style>
  <w:style w:type="character" w:customStyle="1" w:styleId="49">
    <w:name w:val="批注文字 字符"/>
    <w:link w:val="7"/>
    <w:qFormat/>
    <w:locked/>
    <w:uiPriority w:val="99"/>
    <w:rPr>
      <w:rFonts w:ascii="Calibri" w:hAnsi="Calibri" w:cs="Calibri"/>
      <w:kern w:val="2"/>
      <w:sz w:val="21"/>
      <w:szCs w:val="21"/>
    </w:rPr>
  </w:style>
  <w:style w:type="character" w:customStyle="1" w:styleId="50">
    <w:name w:val="unnamed2"/>
    <w:qFormat/>
    <w:uiPriority w:val="0"/>
    <w:rPr>
      <w:rFonts w:cs="Times New Roman"/>
    </w:rPr>
  </w:style>
  <w:style w:type="character" w:customStyle="1" w:styleId="51">
    <w:name w:val="页眉 字符"/>
    <w:link w:val="14"/>
    <w:qFormat/>
    <w:locked/>
    <w:uiPriority w:val="0"/>
    <w:rPr>
      <w:rFonts w:cs="Times New Roman"/>
      <w:sz w:val="18"/>
      <w:szCs w:val="18"/>
    </w:rPr>
  </w:style>
  <w:style w:type="character" w:customStyle="1" w:styleId="52">
    <w:name w:val="日期 字符"/>
    <w:link w:val="10"/>
    <w:qFormat/>
    <w:locked/>
    <w:uiPriority w:val="0"/>
    <w:rPr>
      <w:rFonts w:cs="Times New Roman"/>
      <w:sz w:val="24"/>
      <w:szCs w:val="24"/>
    </w:rPr>
  </w:style>
  <w:style w:type="character" w:customStyle="1" w:styleId="53">
    <w:name w:val="正文文本 字符"/>
    <w:link w:val="2"/>
    <w:qFormat/>
    <w:locked/>
    <w:uiPriority w:val="0"/>
    <w:rPr>
      <w:rFonts w:eastAsia="仿宋_GB2312" w:cs="Times New Roman"/>
      <w:kern w:val="2"/>
      <w:sz w:val="28"/>
    </w:rPr>
  </w:style>
  <w:style w:type="character" w:customStyle="1" w:styleId="54">
    <w:name w:val="页脚 字符"/>
    <w:link w:val="13"/>
    <w:qFormat/>
    <w:locked/>
    <w:uiPriority w:val="99"/>
    <w:rPr>
      <w:rFonts w:cs="Times New Roman"/>
      <w:sz w:val="18"/>
      <w:szCs w:val="18"/>
    </w:rPr>
  </w:style>
  <w:style w:type="character" w:customStyle="1" w:styleId="55">
    <w:name w:val="文档结构图 字符"/>
    <w:link w:val="6"/>
    <w:qFormat/>
    <w:locked/>
    <w:uiPriority w:val="0"/>
    <w:rPr>
      <w:rFonts w:ascii="宋体" w:cs="Times New Roman"/>
      <w:sz w:val="18"/>
      <w:szCs w:val="18"/>
    </w:rPr>
  </w:style>
  <w:style w:type="character" w:customStyle="1" w:styleId="56">
    <w:name w:val="批注主题 字符"/>
    <w:link w:val="17"/>
    <w:semiHidden/>
    <w:qFormat/>
    <w:locked/>
    <w:uiPriority w:val="0"/>
    <w:rPr>
      <w:rFonts w:ascii="Calibri" w:hAnsi="Calibri" w:cs="Calibri"/>
      <w:b/>
      <w:bCs/>
      <w:kern w:val="2"/>
      <w:sz w:val="21"/>
      <w:szCs w:val="21"/>
    </w:rPr>
  </w:style>
  <w:style w:type="character" w:customStyle="1" w:styleId="57">
    <w:name w:val="批注框文本 字符"/>
    <w:link w:val="12"/>
    <w:qFormat/>
    <w:locked/>
    <w:uiPriority w:val="0"/>
    <w:rPr>
      <w:rFonts w:cs="Times New Roman"/>
      <w:sz w:val="18"/>
      <w:szCs w:val="18"/>
    </w:rPr>
  </w:style>
  <w:style w:type="paragraph" w:customStyle="1" w:styleId="5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9">
    <w:name w:val="列出段落2"/>
    <w:basedOn w:val="1"/>
    <w:qFormat/>
    <w:uiPriority w:val="0"/>
    <w:pPr>
      <w:ind w:firstLine="420" w:firstLineChars="200"/>
    </w:pPr>
    <w:rPr>
      <w:rFonts w:ascii="等线" w:hAnsi="等线" w:eastAsia="等线"/>
      <w:szCs w:val="21"/>
    </w:rPr>
  </w:style>
  <w:style w:type="paragraph" w:styleId="60">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61">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66">
    <w:name w:val="jbox-icon-warning"/>
    <w:basedOn w:val="20"/>
    <w:uiPriority w:val="0"/>
  </w:style>
  <w:style w:type="character" w:customStyle="1" w:styleId="67">
    <w:name w:val="name"/>
    <w:basedOn w:val="20"/>
    <w:qFormat/>
    <w:uiPriority w:val="0"/>
  </w:style>
  <w:style w:type="character" w:customStyle="1" w:styleId="68">
    <w:name w:val="name1"/>
    <w:basedOn w:val="20"/>
    <w:qFormat/>
    <w:uiPriority w:val="0"/>
  </w:style>
  <w:style w:type="character" w:customStyle="1" w:styleId="69">
    <w:name w:val="jbox-icon-success"/>
    <w:basedOn w:val="20"/>
    <w:uiPriority w:val="0"/>
  </w:style>
  <w:style w:type="character" w:customStyle="1" w:styleId="70">
    <w:name w:val="jbox-icon-question"/>
    <w:basedOn w:val="20"/>
    <w:qFormat/>
    <w:uiPriority w:val="0"/>
  </w:style>
  <w:style w:type="character" w:customStyle="1" w:styleId="71">
    <w:name w:val="jbox-icon-error"/>
    <w:basedOn w:val="20"/>
    <w:qFormat/>
    <w:uiPriority w:val="0"/>
  </w:style>
  <w:style w:type="character" w:customStyle="1" w:styleId="72">
    <w:name w:val="jbox-icon-loading"/>
    <w:basedOn w:val="20"/>
    <w:qFormat/>
    <w:uiPriority w:val="0"/>
  </w:style>
  <w:style w:type="character" w:customStyle="1" w:styleId="73">
    <w:name w:val="jbox-icon"/>
    <w:basedOn w:val="20"/>
    <w:qFormat/>
    <w:uiPriority w:val="0"/>
  </w:style>
  <w:style w:type="character" w:customStyle="1" w:styleId="74">
    <w:name w:val="jbox-icon-info"/>
    <w:basedOn w:val="20"/>
    <w:qFormat/>
    <w:uiPriority w:val="0"/>
  </w:style>
  <w:style w:type="character" w:customStyle="1" w:styleId="75">
    <w:name w:val="jbox-icon-none"/>
    <w:basedOn w:val="20"/>
    <w:qFormat/>
    <w:uiPriority w:val="0"/>
    <w:rPr>
      <w:vanish/>
    </w:rPr>
  </w:style>
  <w:style w:type="character" w:customStyle="1" w:styleId="76">
    <w:name w:val="flow-name-span"/>
    <w:basedOn w:val="20"/>
    <w:qFormat/>
    <w:uiPriority w:val="0"/>
  </w:style>
  <w:style w:type="character" w:customStyle="1" w:styleId="77">
    <w:name w:val="sort-name-span"/>
    <w:basedOn w:val="20"/>
    <w:qFormat/>
    <w:uiPriority w:val="0"/>
  </w:style>
  <w:style w:type="character" w:customStyle="1" w:styleId="78">
    <w:name w:val="status"/>
    <w:basedOn w:val="20"/>
    <w:qFormat/>
    <w:uiPriority w:val="0"/>
    <w:rPr>
      <w:color w:val="FF0000"/>
    </w:rPr>
  </w:style>
  <w:style w:type="character" w:customStyle="1" w:styleId="79">
    <w:name w:val="level-noral"/>
    <w:basedOn w:val="20"/>
    <w:qFormat/>
    <w:uiPriority w:val="0"/>
  </w:style>
  <w:style w:type="character" w:customStyle="1" w:styleId="80">
    <w:name w:val="root"/>
    <w:basedOn w:val="20"/>
    <w:qFormat/>
    <w:uiPriority w:val="0"/>
  </w:style>
  <w:style w:type="character" w:customStyle="1" w:styleId="81">
    <w:name w:val="leaf"/>
    <w:basedOn w:val="20"/>
    <w:qFormat/>
    <w:uiPriority w:val="0"/>
  </w:style>
  <w:style w:type="character" w:customStyle="1" w:styleId="82">
    <w:name w:val="category-text"/>
    <w:basedOn w:val="20"/>
    <w:qFormat/>
    <w:uiPriority w:val="0"/>
    <w:rPr>
      <w:b/>
      <w:shd w:val="clear" w:fill="FFFFFF"/>
    </w:rPr>
  </w:style>
  <w:style w:type="character" w:customStyle="1" w:styleId="83">
    <w:name w:val="dept"/>
    <w:basedOn w:val="20"/>
    <w:qFormat/>
    <w:uiPriority w:val="0"/>
  </w:style>
  <w:style w:type="character" w:customStyle="1" w:styleId="84">
    <w:name w:val="level-urgent"/>
    <w:basedOn w:val="20"/>
    <w:qFormat/>
    <w:uiPriority w:val="0"/>
  </w:style>
  <w:style w:type="character" w:customStyle="1" w:styleId="85">
    <w:name w:val="attchment-public"/>
    <w:basedOn w:val="20"/>
    <w:qFormat/>
    <w:uiPriority w:val="0"/>
    <w:rPr>
      <w:color w:val="FFA55A"/>
    </w:rPr>
  </w:style>
  <w:style w:type="character" w:customStyle="1" w:styleId="86">
    <w:name w:val="attchment-public1"/>
    <w:basedOn w:val="20"/>
    <w:qFormat/>
    <w:uiPriority w:val="0"/>
  </w:style>
  <w:style w:type="character" w:customStyle="1" w:styleId="87">
    <w:name w:val="remark-title"/>
    <w:basedOn w:val="20"/>
    <w:qFormat/>
    <w:uiPriority w:val="0"/>
    <w:rPr>
      <w:color w:val="58C697"/>
    </w:rPr>
  </w:style>
  <w:style w:type="character" w:customStyle="1" w:styleId="88">
    <w:name w:val="remark-title1"/>
    <w:basedOn w:val="20"/>
    <w:qFormat/>
    <w:uiPriority w:val="0"/>
  </w:style>
  <w:style w:type="character" w:customStyle="1" w:styleId="89">
    <w:name w:val="op-icon"/>
    <w:basedOn w:val="20"/>
    <w:qFormat/>
    <w:uiPriority w:val="0"/>
    <w:rPr>
      <w:bdr w:val="single" w:color="FF0000" w:sz="6" w:space="0"/>
    </w:rPr>
  </w:style>
  <w:style w:type="character" w:customStyle="1" w:styleId="90">
    <w:name w:val="level-major"/>
    <w:basedOn w:val="20"/>
    <w:uiPriority w:val="0"/>
  </w:style>
  <w:style w:type="character" w:customStyle="1" w:styleId="91">
    <w:name w:val="edui-clickable2"/>
    <w:basedOn w:val="20"/>
    <w:qFormat/>
    <w:uiPriority w:val="0"/>
    <w:rPr>
      <w:color w:val="0000FF"/>
      <w:u w:val="single"/>
    </w:rPr>
  </w:style>
  <w:style w:type="character" w:customStyle="1" w:styleId="92">
    <w:name w:val="edui-unclickable"/>
    <w:basedOn w:val="20"/>
    <w:uiPriority w:val="0"/>
    <w:rPr>
      <w:color w:val="808080"/>
    </w:rPr>
  </w:style>
  <w:style w:type="paragraph" w:customStyle="1" w:styleId="93">
    <w:name w:val="_Style 92"/>
    <w:basedOn w:val="1"/>
    <w:next w:val="1"/>
    <w:qFormat/>
    <w:uiPriority w:val="0"/>
    <w:pPr>
      <w:pBdr>
        <w:bottom w:val="single" w:color="auto" w:sz="6" w:space="1"/>
      </w:pBdr>
      <w:jc w:val="center"/>
    </w:pPr>
    <w:rPr>
      <w:rFonts w:ascii="Arial" w:eastAsia="宋体"/>
      <w:vanish/>
      <w:sz w:val="16"/>
    </w:rPr>
  </w:style>
  <w:style w:type="paragraph" w:customStyle="1" w:styleId="94">
    <w:name w:val="_Style 93"/>
    <w:basedOn w:val="1"/>
    <w:next w:val="1"/>
    <w:qFormat/>
    <w:uiPriority w:val="0"/>
    <w:pPr>
      <w:pBdr>
        <w:top w:val="single" w:color="auto" w:sz="6" w:space="1"/>
      </w:pBdr>
      <w:jc w:val="center"/>
    </w:pPr>
    <w:rPr>
      <w:rFonts w:ascii="Arial" w:eastAsia="宋体"/>
      <w:vanish/>
      <w:sz w:val="16"/>
    </w:rPr>
  </w:style>
  <w:style w:type="paragraph" w:customStyle="1" w:styleId="95">
    <w:name w:val="Fließtext"/>
    <w:basedOn w:val="1"/>
    <w:qFormat/>
    <w:uiPriority w:val="0"/>
    <w:pPr>
      <w:overflowPunct w:val="0"/>
      <w:autoSpaceDE w:val="0"/>
      <w:autoSpaceDN w:val="0"/>
      <w:adjustRightInd w:val="0"/>
      <w:textAlignment w:val="baseline"/>
    </w:pPr>
    <w:rPr>
      <w:kern w:val="28"/>
      <w:szCs w:val="20"/>
    </w:rPr>
  </w:style>
  <w:style w:type="character" w:customStyle="1" w:styleId="96">
    <w:name w:val="dropdown"/>
    <w:basedOn w:val="20"/>
    <w:uiPriority w:val="0"/>
  </w:style>
  <w:style w:type="character" w:customStyle="1" w:styleId="97">
    <w:name w:val="dropdown1"/>
    <w:basedOn w:val="2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2808</Words>
  <Characters>16007</Characters>
  <Lines>133</Lines>
  <Paragraphs>37</Paragraphs>
  <TotalTime>1</TotalTime>
  <ScaleCrop>false</ScaleCrop>
  <LinksUpToDate>false</LinksUpToDate>
  <CharactersWithSpaces>18778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2022-03-02T11:26:00Z</dcterms:created>
  <dc:creator>LIU</dc:creator>
  <cp:lastModifiedBy>方维钦</cp:lastModifiedBy>
  <cp:lastPrinted>2022-03-02T09:18:00Z</cp:lastPrinted>
  <dcterms:modified xsi:type="dcterms:W3CDTF">2022-07-13T00:13:06Z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B43CED5EFB7D4D299995FE7045CB6B43</vt:lpwstr>
  </property>
</Properties>
</file>