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黑体" w:hAnsi="黑体" w:eastAsia="黑体" w:cs="宋体"/>
          <w:b/>
          <w:color w:val="000000" w:themeColor="text1"/>
          <w:kern w:val="0"/>
          <w:sz w:val="52"/>
          <w:szCs w:val="52"/>
          <w14:textFill>
            <w14:solidFill>
              <w14:schemeClr w14:val="tx1"/>
            </w14:solidFill>
          </w14:textFill>
        </w:rPr>
      </w:pPr>
      <w:r>
        <w:rPr>
          <w:rFonts w:hint="eastAsia" w:ascii="黑体" w:hAnsi="黑体" w:eastAsia="黑体" w:cs="宋体"/>
          <w:b/>
          <w:color w:val="FF0000"/>
          <w:kern w:val="0"/>
          <w:sz w:val="52"/>
          <w:szCs w:val="52"/>
        </w:rPr>
        <w:t>集美工业学校</w:t>
      </w:r>
    </w:p>
    <w:p>
      <w:pPr>
        <w:widowControl/>
        <w:shd w:val="clear" w:color="auto" w:fill="FFFFFF"/>
        <w:spacing w:line="360" w:lineRule="auto"/>
        <w:jc w:val="center"/>
        <w:rPr>
          <w:rFonts w:cs="宋体" w:asciiTheme="minorEastAsia" w:hAnsiTheme="minorEastAsia"/>
          <w:b/>
          <w:color w:val="000000" w:themeColor="text1"/>
          <w:kern w:val="0"/>
          <w:sz w:val="32"/>
          <w:szCs w:val="32"/>
          <w14:textFill>
            <w14:solidFill>
              <w14:schemeClr w14:val="tx1"/>
            </w14:solidFill>
          </w14:textFill>
        </w:rPr>
      </w:pPr>
      <w:r>
        <w:rPr>
          <w:rFonts w:hint="eastAsia" w:cs="宋体" w:asciiTheme="minorEastAsia" w:hAnsiTheme="minorEastAsia"/>
          <w:b/>
          <w:color w:val="000000" w:themeColor="text1"/>
          <w:kern w:val="0"/>
          <w:sz w:val="32"/>
          <w:szCs w:val="32"/>
          <w14:textFill>
            <w14:solidFill>
              <w14:schemeClr w14:val="tx1"/>
            </w14:solidFill>
          </w14:textFill>
        </w:rPr>
        <w:t>202</w:t>
      </w:r>
      <w:r>
        <w:rPr>
          <w:rFonts w:hint="eastAsia" w:cs="宋体" w:asciiTheme="minorEastAsia" w:hAnsiTheme="minorEastAsia"/>
          <w:b/>
          <w:color w:val="000000" w:themeColor="text1"/>
          <w:kern w:val="0"/>
          <w:sz w:val="32"/>
          <w:szCs w:val="32"/>
          <w:lang w:val="en-US" w:eastAsia="zh-CN"/>
          <w14:textFill>
            <w14:solidFill>
              <w14:schemeClr w14:val="tx1"/>
            </w14:solidFill>
          </w14:textFill>
        </w:rPr>
        <w:t>1</w:t>
      </w:r>
      <w:r>
        <w:rPr>
          <w:rFonts w:hint="eastAsia" w:cs="宋体" w:asciiTheme="minorEastAsia" w:hAnsiTheme="minorEastAsia"/>
          <w:b/>
          <w:color w:val="000000" w:themeColor="text1"/>
          <w:kern w:val="0"/>
          <w:sz w:val="32"/>
          <w:szCs w:val="32"/>
          <w14:textFill>
            <w14:solidFill>
              <w14:schemeClr w14:val="tx1"/>
            </w14:solidFill>
          </w14:textFill>
        </w:rPr>
        <w:t>年《陈嘉庚奖学金》招生简章</w:t>
      </w:r>
    </w:p>
    <w:p>
      <w:pPr>
        <w:pStyle w:val="3"/>
        <w:spacing w:before="120"/>
        <w:ind w:left="562" w:hanging="562"/>
        <w:rPr>
          <w:color w:val="000000" w:themeColor="text1"/>
          <w14:textFill>
            <w14:solidFill>
              <w14:schemeClr w14:val="tx1"/>
            </w14:solidFill>
          </w14:textFill>
        </w:rPr>
      </w:pPr>
      <w:r>
        <w:rPr>
          <w:rFonts w:hint="eastAsia"/>
          <w:color w:val="000000" w:themeColor="text1"/>
          <w14:textFill>
            <w14:solidFill>
              <w14:schemeClr w14:val="tx1"/>
            </w14:solidFill>
          </w14:textFill>
        </w:rPr>
        <w:t>学校简介</w:t>
      </w:r>
    </w:p>
    <w:p>
      <w:pPr>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集美工业学校是陈嘉庚先生1920年创办的集美学校商科。学校地处港口及风景旅游城市——厦门市，比邻厦门园博苑。学校以嘉庚文化为核心的人文气息浓厚，校园环境优美，住宿条件舒适，师资力量雄厚，是市民最喜爱的厦门职业院校。</w:t>
      </w:r>
    </w:p>
    <w:p>
      <w:pPr>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学校占地459亩，校舍总建筑面积15万平方米，教学及辅助用房总面积7万平方米，现在校生6249人，共有专任教师307人，其中专业教师178人，87人拥有硕士以上学位，高级职称110人，中级职称143人，“双师”型教师89人，设有先进制造、智能控制、信息工程、现代化工、现代交通、现代服务、闽南文化等七个产业学系，共27个专业群。</w:t>
      </w:r>
    </w:p>
    <w:p>
      <w:pPr>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学校是《陈嘉庚奖学金》项目的招生学校之一，根据《陈嘉庚奖学金章程》，我校2020年计划招生“海丝”沿线国家华侨华人后裔《陈嘉庚奖学金》学生20名，符合条件的华人华侨后裔学生可申请就读集美工业学校。</w:t>
      </w:r>
    </w:p>
    <w:p>
      <w:pPr>
        <w:spacing w:line="360" w:lineRule="auto"/>
        <w:ind w:firstLine="480" w:firstLineChars="200"/>
        <w:rPr>
          <w:rFonts w:cs="宋体" w:asciiTheme="minorEastAsia" w:hAnsiTheme="minorEastAsia"/>
          <w:color w:val="auto"/>
          <w:kern w:val="0"/>
          <w:sz w:val="24"/>
          <w:szCs w:val="24"/>
        </w:rPr>
      </w:pPr>
    </w:p>
    <w:p>
      <w:pPr>
        <w:pStyle w:val="3"/>
        <w:spacing w:before="120"/>
        <w:ind w:left="562" w:hanging="562"/>
        <w:rPr>
          <w:color w:val="auto"/>
        </w:rPr>
      </w:pPr>
      <w:r>
        <w:rPr>
          <w:rFonts w:hint="eastAsia"/>
          <w:color w:val="auto"/>
        </w:rPr>
        <w:t>招生对象条件</w:t>
      </w:r>
    </w:p>
    <w:p>
      <w:pPr>
        <w:widowControl/>
        <w:shd w:val="clear" w:color="auto" w:fill="FFFFFF"/>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 “海上丝绸之路”沿线国家华侨华人后裔，拥护“一个中国”，对祖籍国友好，身体健康；</w:t>
      </w:r>
    </w:p>
    <w:p>
      <w:pPr>
        <w:widowControl/>
        <w:shd w:val="clear" w:color="auto" w:fill="FFFFFF"/>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 xml:space="preserve"> </w:t>
      </w:r>
      <w:r>
        <w:rPr>
          <w:rFonts w:cs="宋体" w:asciiTheme="minorEastAsia" w:hAnsiTheme="minorEastAsia"/>
          <w:color w:val="auto"/>
          <w:kern w:val="0"/>
          <w:sz w:val="24"/>
          <w:szCs w:val="24"/>
        </w:rPr>
        <w:t>申请读</w:t>
      </w:r>
      <w:r>
        <w:rPr>
          <w:rFonts w:hint="eastAsia" w:cs="宋体" w:asciiTheme="minorEastAsia" w:hAnsiTheme="minorEastAsia"/>
          <w:color w:val="auto"/>
          <w:kern w:val="0"/>
          <w:sz w:val="24"/>
          <w:szCs w:val="24"/>
        </w:rPr>
        <w:t>我校（中专）</w:t>
      </w:r>
      <w:r>
        <w:rPr>
          <w:rFonts w:cs="宋体" w:asciiTheme="minorEastAsia" w:hAnsiTheme="minorEastAsia"/>
          <w:color w:val="auto"/>
          <w:kern w:val="0"/>
          <w:sz w:val="24"/>
          <w:szCs w:val="24"/>
        </w:rPr>
        <w:t>的学生，须获得初级中学毕业</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并通过汉语水平（HSK）三级或以上等级证书，具有</w:t>
      </w:r>
      <w:r>
        <w:rPr>
          <w:rFonts w:cs="宋体" w:asciiTheme="minorEastAsia" w:hAnsiTheme="minorEastAsia"/>
          <w:color w:val="auto"/>
          <w:kern w:val="0"/>
          <w:sz w:val="24"/>
          <w:szCs w:val="24"/>
        </w:rPr>
        <w:t>运用汉语</w:t>
      </w:r>
      <w:r>
        <w:rPr>
          <w:rFonts w:hint="eastAsia" w:cs="宋体" w:asciiTheme="minorEastAsia" w:hAnsiTheme="minorEastAsia"/>
          <w:color w:val="auto"/>
          <w:kern w:val="0"/>
          <w:sz w:val="24"/>
          <w:szCs w:val="24"/>
        </w:rPr>
        <w:t>和汉字</w:t>
      </w:r>
      <w:r>
        <w:rPr>
          <w:rFonts w:cs="宋体" w:asciiTheme="minorEastAsia" w:hAnsiTheme="minorEastAsia"/>
          <w:color w:val="auto"/>
          <w:kern w:val="0"/>
          <w:sz w:val="24"/>
          <w:szCs w:val="24"/>
        </w:rPr>
        <w:t>进行交际和沟通的</w:t>
      </w:r>
      <w:r>
        <w:rPr>
          <w:rFonts w:hint="eastAsia" w:cs="宋体" w:asciiTheme="minorEastAsia" w:hAnsiTheme="minorEastAsia"/>
          <w:color w:val="auto"/>
          <w:kern w:val="0"/>
          <w:sz w:val="24"/>
          <w:szCs w:val="24"/>
        </w:rPr>
        <w:t>基本</w:t>
      </w:r>
      <w:r>
        <w:rPr>
          <w:rFonts w:cs="宋体" w:asciiTheme="minorEastAsia" w:hAnsiTheme="minorEastAsia"/>
          <w:color w:val="auto"/>
          <w:kern w:val="0"/>
          <w:sz w:val="24"/>
          <w:szCs w:val="24"/>
        </w:rPr>
        <w:t>能力</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年龄不超过18岁</w:t>
      </w:r>
      <w:r>
        <w:rPr>
          <w:rFonts w:hint="eastAsia" w:cs="宋体" w:asciiTheme="minorEastAsia" w:hAnsiTheme="minorEastAsia"/>
          <w:color w:val="auto"/>
          <w:kern w:val="0"/>
          <w:sz w:val="24"/>
          <w:szCs w:val="24"/>
        </w:rPr>
        <w:t>。</w:t>
      </w:r>
    </w:p>
    <w:p>
      <w:pPr>
        <w:pStyle w:val="3"/>
        <w:spacing w:before="120"/>
        <w:ind w:left="562" w:hanging="562"/>
        <w:rPr>
          <w:color w:val="auto"/>
        </w:rPr>
      </w:pPr>
      <w:r>
        <w:rPr>
          <w:rFonts w:hint="eastAsia"/>
          <w:color w:val="auto"/>
        </w:rPr>
        <w:t>招生类别、时间及专业</w:t>
      </w:r>
    </w:p>
    <w:p>
      <w:pPr>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1.招生类别：中等职业学校学生。</w:t>
      </w:r>
    </w:p>
    <w:p>
      <w:pPr>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2.招生时间：202</w:t>
      </w:r>
      <w:r>
        <w:rPr>
          <w:rFonts w:hint="eastAsia" w:cs="宋体" w:asciiTheme="minorEastAsia" w:hAnsiTheme="minorEastAsia"/>
          <w:color w:val="auto"/>
          <w:kern w:val="0"/>
          <w:sz w:val="24"/>
          <w:szCs w:val="24"/>
          <w:lang w:val="en-US" w:eastAsia="zh-CN"/>
        </w:rPr>
        <w:t>1</w:t>
      </w:r>
      <w:r>
        <w:rPr>
          <w:rFonts w:hint="eastAsia" w:cs="宋体" w:asciiTheme="minorEastAsia" w:hAnsiTheme="minorEastAsia"/>
          <w:color w:val="auto"/>
          <w:kern w:val="0"/>
          <w:sz w:val="24"/>
          <w:szCs w:val="24"/>
        </w:rPr>
        <w:t>年5月15日前。</w:t>
      </w:r>
    </w:p>
    <w:p>
      <w:pPr>
        <w:pStyle w:val="18"/>
        <w:spacing w:line="360" w:lineRule="auto"/>
        <w:ind w:firstLine="48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3.招生专业：</w:t>
      </w:r>
      <w:r>
        <w:rPr>
          <w:rFonts w:hint="eastAsia" w:ascii="宋体" w:hAnsi="宋体" w:eastAsia="宋体" w:cs="宋体"/>
          <w:b w:val="0"/>
          <w:bCs/>
          <w:color w:val="auto"/>
          <w:sz w:val="24"/>
          <w:szCs w:val="24"/>
        </w:rPr>
        <w:t>国际商务专业</w:t>
      </w:r>
      <w:r>
        <w:rPr>
          <w:rFonts w:hint="eastAsia" w:cs="宋体" w:asciiTheme="minorEastAsia" w:hAnsiTheme="minorEastAsia"/>
          <w:color w:val="auto"/>
          <w:kern w:val="0"/>
          <w:sz w:val="24"/>
          <w:szCs w:val="24"/>
        </w:rPr>
        <w:t>，学制三年。</w:t>
      </w:r>
    </w:p>
    <w:p>
      <w:pPr>
        <w:pStyle w:val="18"/>
        <w:spacing w:line="360" w:lineRule="auto"/>
        <w:ind w:firstLine="48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4</w:t>
      </w:r>
      <w:r>
        <w:rPr>
          <w:rFonts w:hint="eastAsia" w:cs="宋体" w:asciiTheme="minorEastAsia" w:hAnsiTheme="minorEastAsia"/>
          <w:color w:val="auto"/>
          <w:kern w:val="0"/>
          <w:sz w:val="24"/>
          <w:szCs w:val="24"/>
        </w:rPr>
        <w:t>.陈嘉庚奖学金资助额度：人民币3万元/人/学年，资助年限3年。学费1万元，学生生活费2万元（含教材费800元、住宿费500元等开支）。</w:t>
      </w:r>
    </w:p>
    <w:p>
      <w:pPr>
        <w:pStyle w:val="3"/>
        <w:spacing w:before="120"/>
        <w:ind w:left="562" w:hanging="562"/>
        <w:rPr>
          <w:color w:val="auto"/>
        </w:rPr>
      </w:pPr>
      <w:r>
        <w:rPr>
          <w:rFonts w:hint="eastAsia"/>
          <w:color w:val="auto"/>
        </w:rPr>
        <w:t>奖学金资助标准</w:t>
      </w:r>
    </w:p>
    <w:p>
      <w:pPr>
        <w:widowControl/>
        <w:shd w:val="clear" w:color="auto" w:fill="FFFFFF"/>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申请就读我校的《陈嘉庚奖学金》</w:t>
      </w:r>
      <w:r>
        <w:rPr>
          <w:rFonts w:cs="宋体" w:asciiTheme="minorEastAsia" w:hAnsiTheme="minorEastAsia"/>
          <w:color w:val="auto"/>
          <w:kern w:val="0"/>
          <w:sz w:val="24"/>
          <w:szCs w:val="24"/>
        </w:rPr>
        <w:t>学生</w:t>
      </w:r>
      <w:r>
        <w:rPr>
          <w:rFonts w:hint="eastAsia" w:cs="宋体" w:asciiTheme="minorEastAsia" w:hAnsiTheme="minorEastAsia"/>
          <w:color w:val="auto"/>
          <w:kern w:val="0"/>
          <w:sz w:val="24"/>
          <w:szCs w:val="24"/>
        </w:rPr>
        <w:t>，需要按程序评审，评审通过后才可以享受陈嘉庚奖学金。</w:t>
      </w:r>
    </w:p>
    <w:p>
      <w:pPr>
        <w:widowControl/>
        <w:shd w:val="clear" w:color="auto" w:fill="FFFFFF"/>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2.申请人已获得中国政府或就读学校相关奖励资助的，原则上不再享受陈嘉庚奖学金资助</w:t>
      </w:r>
      <w:r>
        <w:rPr>
          <w:rFonts w:cs="宋体" w:asciiTheme="minorEastAsia" w:hAnsiTheme="minorEastAsia"/>
          <w:color w:val="auto"/>
          <w:kern w:val="0"/>
          <w:sz w:val="24"/>
          <w:szCs w:val="24"/>
        </w:rPr>
        <w:t>。</w:t>
      </w:r>
    </w:p>
    <w:p>
      <w:pPr>
        <w:pStyle w:val="3"/>
        <w:spacing w:before="120"/>
        <w:ind w:left="562" w:hanging="562"/>
        <w:rPr>
          <w:color w:val="auto"/>
        </w:rPr>
      </w:pPr>
      <w:r>
        <w:rPr>
          <w:rFonts w:hint="eastAsia"/>
          <w:color w:val="auto"/>
        </w:rPr>
        <w:t>申报材料要求</w:t>
      </w:r>
    </w:p>
    <w:p>
      <w:pPr>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申请人须按照学校的要求提供如下材料</w:t>
      </w:r>
      <w:r>
        <w:rPr>
          <w:rFonts w:cs="宋体" w:asciiTheme="minorEastAsia" w:hAnsiTheme="minorEastAsia"/>
          <w:color w:val="auto"/>
          <w:kern w:val="0"/>
          <w:sz w:val="24"/>
          <w:szCs w:val="24"/>
        </w:rPr>
        <w:t>：</w:t>
      </w:r>
    </w:p>
    <w:p>
      <w:pPr>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1.《陈嘉庚奖学金申请表》</w:t>
      </w:r>
    </w:p>
    <w:p>
      <w:pPr>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2.护照或其他身份证明复印件。</w:t>
      </w:r>
    </w:p>
    <w:p>
      <w:pPr>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3.2寸彩色免冠照片。</w:t>
      </w:r>
    </w:p>
    <w:p>
      <w:pPr>
        <w:numPr>
          <w:ilvl w:val="0"/>
          <w:numId w:val="2"/>
        </w:numPr>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初中以上毕业证书（经过公证）及汉语水平（HSK）三级或以上等级证书和成绩单。</w:t>
      </w:r>
    </w:p>
    <w:p>
      <w:pPr>
        <w:numPr>
          <w:ilvl w:val="0"/>
          <w:numId w:val="0"/>
        </w:numPr>
        <w:spacing w:line="360" w:lineRule="auto"/>
        <w:rPr>
          <w:rFonts w:hint="eastAsia" w:cs="宋体" w:asciiTheme="minorEastAsia" w:hAnsiTheme="minorEastAsia" w:eastAsiaTheme="minorEastAsia"/>
          <w:color w:val="auto"/>
          <w:kern w:val="0"/>
          <w:sz w:val="24"/>
          <w:szCs w:val="24"/>
          <w:lang w:eastAsia="zh-CN"/>
        </w:rPr>
      </w:pPr>
      <w:r>
        <w:rPr>
          <w:rFonts w:hint="eastAsia" w:cs="宋体" w:asciiTheme="minorEastAsia" w:hAnsiTheme="minorEastAsia"/>
          <w:color w:val="auto"/>
          <w:kern w:val="0"/>
          <w:sz w:val="24"/>
          <w:szCs w:val="24"/>
          <w:lang w:eastAsia="zh-CN"/>
        </w:rPr>
        <w:t>若为五年（初中</w:t>
      </w:r>
      <w:r>
        <w:rPr>
          <w:rFonts w:hint="eastAsia" w:cs="宋体" w:asciiTheme="minorEastAsia" w:hAnsiTheme="minorEastAsia"/>
          <w:color w:val="auto"/>
          <w:kern w:val="0"/>
          <w:sz w:val="24"/>
          <w:szCs w:val="24"/>
          <w:lang w:val="en-US" w:eastAsia="zh-CN"/>
        </w:rPr>
        <w:t>+高中</w:t>
      </w:r>
      <w:r>
        <w:rPr>
          <w:rFonts w:hint="eastAsia" w:cs="宋体" w:asciiTheme="minorEastAsia" w:hAnsiTheme="minorEastAsia"/>
          <w:color w:val="auto"/>
          <w:kern w:val="0"/>
          <w:sz w:val="24"/>
          <w:szCs w:val="24"/>
          <w:lang w:eastAsia="zh-CN"/>
        </w:rPr>
        <w:t>）教育制国家，需提供毕业学校开具就读三年证明。</w:t>
      </w:r>
    </w:p>
    <w:p>
      <w:pPr>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5.毕业学校推荐信1份。</w:t>
      </w:r>
    </w:p>
    <w:p>
      <w:pPr>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6.所在国家华人社团或较有影响的华人推荐信（港澳台地区集美校友后裔由所在地区集美校友会推荐信或集美校友总会推荐信）。</w:t>
      </w:r>
    </w:p>
    <w:p>
      <w:pPr>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7.来华学习计划。</w:t>
      </w:r>
    </w:p>
    <w:p>
      <w:pPr>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w:t>
      </w:r>
      <w:r>
        <w:rPr>
          <w:rFonts w:hint="eastAsia"/>
          <w:color w:val="auto"/>
        </w:rPr>
        <w:t xml:space="preserve"> </w:t>
      </w:r>
      <w:r>
        <w:rPr>
          <w:rFonts w:hint="eastAsia" w:cs="宋体" w:asciiTheme="minorEastAsia" w:hAnsiTheme="minorEastAsia"/>
          <w:color w:val="auto"/>
          <w:kern w:val="0"/>
          <w:sz w:val="24"/>
          <w:szCs w:val="24"/>
        </w:rPr>
        <w:t>凡申请我校就读的外籍学生，必须要有指定监护人。外籍学生的监护人可以是其父母，也可以是其父母委托在国内常住的外国人或中国人。</w:t>
      </w:r>
    </w:p>
    <w:p>
      <w:pPr>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9.以上材料可先通过邮件方式给我校，我校审核后会在10个工作日答复，后会要求提供全部的原件材料。</w:t>
      </w:r>
    </w:p>
    <w:p>
      <w:pPr>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10.纸质材料审核通过后，学校对申请人进行视频面试。</w:t>
      </w:r>
    </w:p>
    <w:p>
      <w:pPr>
        <w:spacing w:line="360" w:lineRule="auto"/>
        <w:ind w:firstLine="480" w:firstLineChars="200"/>
        <w:rPr>
          <w:rFonts w:hint="eastAsia" w:cs="宋体" w:asciiTheme="minorEastAsia" w:hAnsiTheme="minorEastAsia"/>
          <w:color w:val="auto"/>
          <w:kern w:val="0"/>
          <w:sz w:val="24"/>
          <w:szCs w:val="24"/>
        </w:rPr>
      </w:pPr>
    </w:p>
    <w:p>
      <w:pPr>
        <w:pStyle w:val="3"/>
        <w:spacing w:before="120"/>
        <w:ind w:left="562" w:hanging="562"/>
        <w:rPr>
          <w:color w:val="auto"/>
        </w:rPr>
      </w:pPr>
      <w:r>
        <w:rPr>
          <w:rFonts w:hint="eastAsia"/>
          <w:color w:val="auto"/>
        </w:rPr>
        <w:t>联系方式</w:t>
      </w:r>
      <w:bookmarkStart w:id="13" w:name="_GoBack"/>
      <w:bookmarkEnd w:id="13"/>
    </w:p>
    <w:p>
      <w:pPr>
        <w:spacing w:line="360" w:lineRule="auto"/>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电话:0086-592-</w:t>
      </w:r>
      <w:r>
        <w:rPr>
          <w:rFonts w:cs="宋体" w:asciiTheme="minorEastAsia" w:hAnsiTheme="minorEastAsia"/>
          <w:color w:val="000000" w:themeColor="text1"/>
          <w:kern w:val="0"/>
          <w:sz w:val="24"/>
          <w:szCs w:val="24"/>
          <w14:textFill>
            <w14:solidFill>
              <w14:schemeClr w14:val="tx1"/>
            </w14:solidFill>
          </w14:textFill>
        </w:rPr>
        <w:t>7790931</w:t>
      </w:r>
      <w:r>
        <w:rPr>
          <w:rFonts w:hint="eastAsia" w:cs="宋体" w:asciiTheme="minorEastAsia" w:hAnsiTheme="minorEastAsia"/>
          <w:color w:val="000000" w:themeColor="text1"/>
          <w:kern w:val="0"/>
          <w:sz w:val="24"/>
          <w:szCs w:val="24"/>
          <w14:textFill>
            <w14:solidFill>
              <w14:schemeClr w14:val="tx1"/>
            </w14:solidFill>
          </w14:textFill>
        </w:rPr>
        <w:t xml:space="preserve">  </w:t>
      </w:r>
    </w:p>
    <w:p>
      <w:pPr>
        <w:spacing w:line="360" w:lineRule="auto"/>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传真:0086-592-</w:t>
      </w:r>
      <w:r>
        <w:rPr>
          <w:rFonts w:cs="宋体" w:asciiTheme="minorEastAsia" w:hAnsiTheme="minorEastAsia"/>
          <w:color w:val="000000" w:themeColor="text1"/>
          <w:kern w:val="0"/>
          <w:sz w:val="24"/>
          <w:szCs w:val="24"/>
          <w14:textFill>
            <w14:solidFill>
              <w14:schemeClr w14:val="tx1"/>
            </w14:solidFill>
          </w14:textFill>
        </w:rPr>
        <w:t>7790910</w:t>
      </w:r>
    </w:p>
    <w:p>
      <w:pPr>
        <w:spacing w:line="360" w:lineRule="auto"/>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邮件: 149113729@qq.com            </w:t>
      </w:r>
    </w:p>
    <w:p>
      <w:pPr>
        <w:spacing w:line="360" w:lineRule="auto"/>
        <w:ind w:firstLine="480" w:firstLineChars="200"/>
        <w:rPr>
          <w:rStyle w:val="14"/>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招生网址: </w:t>
      </w:r>
      <w:r>
        <w:fldChar w:fldCharType="begin"/>
      </w:r>
      <w:r>
        <w:instrText xml:space="preserve"> HYPERLINK "http://www.jmgyxx.com" </w:instrText>
      </w:r>
      <w:r>
        <w:fldChar w:fldCharType="separate"/>
      </w:r>
      <w:r>
        <w:rPr>
          <w:rStyle w:val="14"/>
          <w:rFonts w:hint="eastAsia" w:cs="宋体" w:asciiTheme="minorEastAsia" w:hAnsiTheme="minorEastAsia"/>
          <w:color w:val="000000" w:themeColor="text1"/>
          <w:kern w:val="0"/>
          <w:sz w:val="24"/>
          <w:szCs w:val="24"/>
          <w14:textFill>
            <w14:solidFill>
              <w14:schemeClr w14:val="tx1"/>
            </w14:solidFill>
          </w14:textFill>
        </w:rPr>
        <w:t>http://www.jmgyxx.com</w:t>
      </w:r>
      <w:r>
        <w:rPr>
          <w:rStyle w:val="14"/>
          <w:rFonts w:hint="eastAsia" w:cs="宋体" w:asciiTheme="minorEastAsia" w:hAnsiTheme="minorEastAsia"/>
          <w:color w:val="000000" w:themeColor="text1"/>
          <w:kern w:val="0"/>
          <w:sz w:val="24"/>
          <w:szCs w:val="24"/>
          <w14:textFill>
            <w14:solidFill>
              <w14:schemeClr w14:val="tx1"/>
            </w14:solidFill>
          </w14:textFill>
        </w:rPr>
        <w:fldChar w:fldCharType="end"/>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地址: </w:t>
      </w:r>
      <w:r>
        <w:rPr>
          <w:rFonts w:hint="eastAsia" w:ascii="宋体" w:hAnsi="宋体" w:cs="宋体"/>
          <w:color w:val="000000" w:themeColor="text1"/>
          <w:kern w:val="0"/>
          <w:sz w:val="24"/>
          <w:szCs w:val="24"/>
          <w14:textFill>
            <w14:solidFill>
              <w14:schemeClr w14:val="tx1"/>
            </w14:solidFill>
          </w14:textFill>
        </w:rPr>
        <w:t>厦门市集美区杏前路22号</w:t>
      </w:r>
    </w:p>
    <w:p>
      <w:pPr>
        <w:spacing w:line="360" w:lineRule="auto"/>
        <w:ind w:firstLine="480" w:firstLineChars="200"/>
        <w:rPr>
          <w:rStyle w:val="14"/>
          <w:rFonts w:hint="eastAsia" w:cs="宋体" w:asciiTheme="minorEastAsia" w:hAnsiTheme="minorEastAsia"/>
          <w:color w:val="000000" w:themeColor="text1"/>
          <w:kern w:val="0"/>
          <w:sz w:val="24"/>
          <w:szCs w:val="24"/>
          <w:u w:val="none"/>
          <w14:textFill>
            <w14:solidFill>
              <w14:schemeClr w14:val="tx1"/>
            </w14:solidFill>
          </w14:textFill>
        </w:rPr>
      </w:pPr>
      <w:r>
        <w:rPr>
          <w:rStyle w:val="14"/>
          <w:rFonts w:hint="eastAsia" w:cs="宋体" w:asciiTheme="minorEastAsia" w:hAnsiTheme="minorEastAsia"/>
          <w:color w:val="000000" w:themeColor="text1"/>
          <w:kern w:val="0"/>
          <w:sz w:val="24"/>
          <w:szCs w:val="24"/>
          <w:u w:val="none"/>
          <w14:textFill>
            <w14:solidFill>
              <w14:schemeClr w14:val="tx1"/>
            </w14:solidFill>
          </w14:textFill>
        </w:rPr>
        <w:t>联系人：柴建明老师、莫</w:t>
      </w:r>
      <w:r>
        <w:rPr>
          <w:rStyle w:val="14"/>
          <w:rFonts w:hint="eastAsia" w:cs="宋体" w:asciiTheme="minorEastAsia" w:hAnsiTheme="minorEastAsia"/>
          <w:color w:val="000000" w:themeColor="text1"/>
          <w:kern w:val="0"/>
          <w:sz w:val="24"/>
          <w:szCs w:val="24"/>
          <w:u w:val="none"/>
          <w:lang w:eastAsia="zh-CN"/>
          <w14:textFill>
            <w14:solidFill>
              <w14:schemeClr w14:val="tx1"/>
            </w14:solidFill>
          </w14:textFill>
        </w:rPr>
        <w:t>青连</w:t>
      </w:r>
      <w:r>
        <w:rPr>
          <w:rStyle w:val="14"/>
          <w:rFonts w:hint="eastAsia" w:cs="宋体" w:asciiTheme="minorEastAsia" w:hAnsiTheme="minorEastAsia"/>
          <w:color w:val="000000" w:themeColor="text1"/>
          <w:kern w:val="0"/>
          <w:sz w:val="24"/>
          <w:szCs w:val="24"/>
          <w:u w:val="none"/>
          <w14:textFill>
            <w14:solidFill>
              <w14:schemeClr w14:val="tx1"/>
            </w14:solidFill>
          </w14:textFill>
        </w:rPr>
        <w:t>老师</w:t>
      </w:r>
    </w:p>
    <w:p>
      <w:pPr>
        <w:spacing w:line="360" w:lineRule="auto"/>
        <w:ind w:firstLine="480" w:firstLineChars="200"/>
        <w:rPr>
          <w:rStyle w:val="14"/>
          <w:rFonts w:hint="eastAsia" w:cs="宋体" w:asciiTheme="minorEastAsia" w:hAnsiTheme="minorEastAsia"/>
          <w:color w:val="000000" w:themeColor="text1"/>
          <w:kern w:val="0"/>
          <w:sz w:val="24"/>
          <w:szCs w:val="24"/>
          <w:u w:val="none"/>
          <w14:textFill>
            <w14:solidFill>
              <w14:schemeClr w14:val="tx1"/>
            </w14:solidFill>
          </w14:textFill>
        </w:rPr>
      </w:pPr>
    </w:p>
    <w:p>
      <w:pPr>
        <w:spacing w:line="360" w:lineRule="auto"/>
        <w:ind w:firstLine="480" w:firstLineChars="200"/>
        <w:rPr>
          <w:rStyle w:val="14"/>
          <w:rFonts w:hint="eastAsia" w:cs="宋体" w:asciiTheme="minorEastAsia" w:hAnsiTheme="minorEastAsia"/>
          <w:color w:val="000000" w:themeColor="text1"/>
          <w:kern w:val="0"/>
          <w:sz w:val="24"/>
          <w:szCs w:val="24"/>
          <w:u w:val="none"/>
          <w14:textFill>
            <w14:solidFill>
              <w14:schemeClr w14:val="tx1"/>
            </w14:solidFill>
          </w14:textFill>
        </w:rPr>
      </w:pPr>
    </w:p>
    <w:p>
      <w:pPr>
        <w:spacing w:line="360" w:lineRule="auto"/>
        <w:ind w:firstLine="480" w:firstLineChars="200"/>
        <w:rPr>
          <w:rStyle w:val="14"/>
          <w:rFonts w:hint="eastAsia" w:cs="宋体" w:asciiTheme="minorEastAsia" w:hAnsiTheme="minorEastAsia"/>
          <w:color w:val="000000" w:themeColor="text1"/>
          <w:kern w:val="0"/>
          <w:sz w:val="24"/>
          <w:szCs w:val="24"/>
          <w:u w:val="none"/>
          <w14:textFill>
            <w14:solidFill>
              <w14:schemeClr w14:val="tx1"/>
            </w14:solidFill>
          </w14:textFill>
        </w:rPr>
      </w:pPr>
    </w:p>
    <w:p>
      <w:pPr>
        <w:spacing w:line="360" w:lineRule="auto"/>
        <w:ind w:firstLine="480" w:firstLineChars="200"/>
        <w:rPr>
          <w:rStyle w:val="14"/>
          <w:rFonts w:hint="eastAsia" w:cs="宋体" w:asciiTheme="minorEastAsia" w:hAnsiTheme="minorEastAsia"/>
          <w:color w:val="000000" w:themeColor="text1"/>
          <w:kern w:val="0"/>
          <w:sz w:val="24"/>
          <w:szCs w:val="24"/>
          <w:u w:val="none"/>
          <w14:textFill>
            <w14:solidFill>
              <w14:schemeClr w14:val="tx1"/>
            </w14:solidFill>
          </w14:textFill>
        </w:rPr>
      </w:pPr>
    </w:p>
    <w:p>
      <w:pPr>
        <w:spacing w:line="360" w:lineRule="auto"/>
        <w:ind w:firstLine="480" w:firstLineChars="200"/>
        <w:rPr>
          <w:rStyle w:val="14"/>
          <w:rFonts w:hint="eastAsia" w:cs="宋体" w:asciiTheme="minorEastAsia" w:hAnsiTheme="minorEastAsia"/>
          <w:color w:val="000000" w:themeColor="text1"/>
          <w:kern w:val="0"/>
          <w:sz w:val="24"/>
          <w:szCs w:val="24"/>
          <w:u w:val="none"/>
          <w14:textFill>
            <w14:solidFill>
              <w14:schemeClr w14:val="tx1"/>
            </w14:solidFill>
          </w14:textFill>
        </w:rPr>
      </w:pPr>
    </w:p>
    <w:p>
      <w:pPr>
        <w:spacing w:line="360" w:lineRule="auto"/>
        <w:ind w:firstLine="480" w:firstLineChars="200"/>
        <w:rPr>
          <w:rStyle w:val="14"/>
          <w:rFonts w:hint="eastAsia" w:cs="宋体" w:asciiTheme="minorEastAsia" w:hAnsiTheme="minorEastAsia"/>
          <w:color w:val="000000" w:themeColor="text1"/>
          <w:kern w:val="0"/>
          <w:sz w:val="24"/>
          <w:szCs w:val="24"/>
          <w:u w:val="none"/>
          <w14:textFill>
            <w14:solidFill>
              <w14:schemeClr w14:val="tx1"/>
            </w14:solidFill>
          </w14:textFill>
        </w:rPr>
      </w:pPr>
    </w:p>
    <w:p>
      <w:pPr>
        <w:spacing w:line="360" w:lineRule="auto"/>
        <w:ind w:firstLine="480" w:firstLineChars="200"/>
        <w:rPr>
          <w:rStyle w:val="14"/>
          <w:rFonts w:hint="eastAsia" w:cs="宋体" w:asciiTheme="minorEastAsia" w:hAnsiTheme="minorEastAsia"/>
          <w:color w:val="000000" w:themeColor="text1"/>
          <w:kern w:val="0"/>
          <w:sz w:val="24"/>
          <w:szCs w:val="24"/>
          <w:u w:val="none"/>
          <w14:textFill>
            <w14:solidFill>
              <w14:schemeClr w14:val="tx1"/>
            </w14:solidFill>
          </w14:textFill>
        </w:rPr>
      </w:pPr>
    </w:p>
    <w:p>
      <w:pPr>
        <w:spacing w:line="360" w:lineRule="auto"/>
        <w:ind w:firstLine="480" w:firstLineChars="200"/>
        <w:rPr>
          <w:rStyle w:val="14"/>
          <w:rFonts w:hint="eastAsia" w:cs="宋体" w:asciiTheme="minorEastAsia" w:hAnsiTheme="minorEastAsia"/>
          <w:color w:val="000000" w:themeColor="text1"/>
          <w:kern w:val="0"/>
          <w:sz w:val="24"/>
          <w:szCs w:val="24"/>
          <w:u w:val="none"/>
          <w14:textFill>
            <w14:solidFill>
              <w14:schemeClr w14:val="tx1"/>
            </w14:solidFill>
          </w14:textFill>
        </w:rPr>
      </w:pPr>
    </w:p>
    <w:p>
      <w:pPr>
        <w:pStyle w:val="2"/>
        <w:rPr>
          <w:rFonts w:hint="eastAsia" w:asciiTheme="minorEastAsia" w:hAnsiTheme="minorEastAsia" w:eastAsiaTheme="minorEastAsia"/>
          <w:sz w:val="24"/>
          <w:szCs w:val="24"/>
        </w:rPr>
      </w:pPr>
      <w:bookmarkStart w:id="0" w:name="_Toc531102344"/>
      <w:bookmarkStart w:id="1" w:name="_Toc386447505"/>
      <w:r>
        <w:rPr>
          <w:rFonts w:hint="eastAsia" w:asciiTheme="minorEastAsia" w:hAnsiTheme="minorEastAsia"/>
          <w:b/>
          <w:sz w:val="36"/>
          <w:szCs w:val="28"/>
          <w:lang w:eastAsia="zh-CN"/>
        </w:rPr>
        <w:t>附：集美工业学校</w:t>
      </w:r>
      <w:r>
        <w:rPr>
          <w:rFonts w:hint="eastAsia" w:asciiTheme="minorEastAsia" w:hAnsiTheme="minorEastAsia" w:eastAsiaTheme="minorEastAsia"/>
          <w:b/>
          <w:sz w:val="36"/>
          <w:szCs w:val="28"/>
        </w:rPr>
        <w:t>《国际商务专业》人才培养方案</w:t>
      </w:r>
    </w:p>
    <w:p>
      <w:pPr>
        <w:pStyle w:val="2"/>
        <w:rPr>
          <w:rFonts w:hint="eastAsia" w:asciiTheme="minorEastAsia" w:hAnsiTheme="minorEastAsia" w:eastAsiaTheme="minorEastAsia"/>
          <w:sz w:val="24"/>
          <w:szCs w:val="24"/>
        </w:rPr>
      </w:pPr>
    </w:p>
    <w:p>
      <w:pPr>
        <w:pStyle w:val="2"/>
        <w:rPr>
          <w:rFonts w:asciiTheme="minorEastAsia" w:hAnsiTheme="minorEastAsia" w:eastAsiaTheme="minorEastAsia"/>
          <w:sz w:val="24"/>
          <w:szCs w:val="24"/>
        </w:rPr>
      </w:pPr>
      <w:r>
        <w:rPr>
          <w:rFonts w:hint="eastAsia" w:asciiTheme="minorEastAsia" w:hAnsiTheme="minorEastAsia"/>
          <w:sz w:val="24"/>
          <w:szCs w:val="24"/>
          <w:lang w:eastAsia="zh-CN"/>
        </w:rPr>
        <w:t>一、</w:t>
      </w:r>
      <w:r>
        <w:rPr>
          <w:rFonts w:hint="eastAsia" w:asciiTheme="minorEastAsia" w:hAnsiTheme="minorEastAsia" w:eastAsiaTheme="minorEastAsia"/>
          <w:sz w:val="24"/>
          <w:szCs w:val="24"/>
        </w:rPr>
        <w:t>入学要求</w:t>
      </w:r>
      <w:bookmarkEnd w:id="0"/>
      <w:bookmarkEnd w:id="1"/>
      <w:r>
        <w:rPr>
          <w:rFonts w:hint="eastAsia" w:asciiTheme="minorEastAsia" w:hAnsiTheme="minorEastAsia"/>
          <w:sz w:val="24"/>
          <w:szCs w:val="24"/>
          <w:lang w:eastAsia="zh-CN"/>
        </w:rPr>
        <w:t>及</w:t>
      </w:r>
      <w:r>
        <w:rPr>
          <w:rFonts w:hint="eastAsia" w:asciiTheme="minorEastAsia" w:hAnsiTheme="minorEastAsia" w:eastAsiaTheme="minorEastAsia"/>
          <w:sz w:val="24"/>
          <w:szCs w:val="24"/>
        </w:rPr>
        <w:t>学制</w:t>
      </w:r>
    </w:p>
    <w:p>
      <w:pPr>
        <w:ind w:firstLine="480"/>
        <w:rPr>
          <w:rFonts w:hint="eastAsia" w:asciiTheme="minorEastAsia" w:hAnsiTheme="minorEastAsia" w:eastAsiaTheme="minorEastAsia"/>
          <w:sz w:val="24"/>
        </w:rPr>
      </w:pPr>
      <w:r>
        <w:rPr>
          <w:rFonts w:hint="eastAsia" w:asciiTheme="minorEastAsia" w:hAnsiTheme="minorEastAsia" w:eastAsiaTheme="minorEastAsia"/>
          <w:sz w:val="24"/>
        </w:rPr>
        <w:t>初中毕业或具有同等学力</w:t>
      </w:r>
      <w:r>
        <w:rPr>
          <w:rFonts w:hint="eastAsia" w:asciiTheme="minorEastAsia" w:hAnsiTheme="minorEastAsia"/>
          <w:sz w:val="24"/>
          <w:lang w:eastAsia="zh-CN"/>
        </w:rPr>
        <w:t>（汉语水平达到</w:t>
      </w:r>
      <w:r>
        <w:rPr>
          <w:rFonts w:hint="eastAsia" w:asciiTheme="minorEastAsia" w:hAnsiTheme="minorEastAsia"/>
          <w:sz w:val="24"/>
          <w:lang w:val="en-US" w:eastAsia="zh-CN"/>
        </w:rPr>
        <w:t>HSK三级及以上）</w:t>
      </w:r>
      <w:r>
        <w:rPr>
          <w:rFonts w:hint="eastAsia" w:asciiTheme="minorEastAsia" w:hAnsiTheme="minorEastAsia"/>
          <w:sz w:val="24"/>
          <w:lang w:eastAsia="zh-CN"/>
        </w:rPr>
        <w:t>，学制</w:t>
      </w:r>
      <w:r>
        <w:rPr>
          <w:rFonts w:hint="eastAsia" w:asciiTheme="minorEastAsia" w:hAnsiTheme="minorEastAsia" w:eastAsiaTheme="minorEastAsia"/>
          <w:sz w:val="24"/>
        </w:rPr>
        <w:t>3年</w:t>
      </w:r>
    </w:p>
    <w:p>
      <w:pPr>
        <w:ind w:firstLine="480"/>
        <w:rPr>
          <w:rFonts w:hint="eastAsia" w:asciiTheme="minorEastAsia" w:hAnsiTheme="minorEastAsia" w:eastAsiaTheme="minorEastAsia"/>
          <w:sz w:val="24"/>
        </w:rPr>
      </w:pPr>
    </w:p>
    <w:p>
      <w:pPr>
        <w:pStyle w:val="2"/>
        <w:rPr>
          <w:rFonts w:asciiTheme="minorEastAsia" w:hAnsiTheme="minorEastAsia" w:eastAsiaTheme="minorEastAsia"/>
          <w:sz w:val="24"/>
          <w:szCs w:val="24"/>
        </w:rPr>
      </w:pPr>
      <w:bookmarkStart w:id="2" w:name="_Toc531102346"/>
      <w:bookmarkStart w:id="3" w:name="_Toc386447508"/>
      <w:r>
        <w:rPr>
          <w:rFonts w:hint="eastAsia" w:asciiTheme="minorEastAsia" w:hAnsiTheme="minorEastAsia"/>
          <w:sz w:val="24"/>
          <w:szCs w:val="24"/>
          <w:lang w:eastAsia="zh-CN"/>
        </w:rPr>
        <w:t>二</w:t>
      </w:r>
      <w:r>
        <w:rPr>
          <w:rFonts w:hint="eastAsia" w:asciiTheme="minorEastAsia" w:hAnsiTheme="minorEastAsia" w:eastAsiaTheme="minorEastAsia"/>
          <w:sz w:val="24"/>
          <w:szCs w:val="24"/>
        </w:rPr>
        <w:t>、培养目标</w:t>
      </w:r>
      <w:bookmarkEnd w:id="2"/>
      <w:bookmarkEnd w:id="3"/>
    </w:p>
    <w:p>
      <w:pPr>
        <w:ind w:firstLine="480"/>
        <w:rPr>
          <w:rFonts w:ascii="宋体" w:hAnsi="宋体"/>
          <w:sz w:val="24"/>
        </w:rPr>
      </w:pPr>
      <w:bookmarkStart w:id="4" w:name="_Toc531102347"/>
      <w:bookmarkStart w:id="5" w:name="_Toc386447510"/>
      <w:r>
        <w:rPr>
          <w:rFonts w:hint="eastAsia"/>
          <w:sz w:val="24"/>
        </w:rPr>
        <w:t>本专业面向国际贸易领域，</w:t>
      </w:r>
      <w:r>
        <w:rPr>
          <w:rFonts w:hint="eastAsia"/>
          <w:sz w:val="24"/>
          <w:lang w:eastAsia="zh-CN"/>
        </w:rPr>
        <w:t>要求</w:t>
      </w:r>
      <w:r>
        <w:rPr>
          <w:rFonts w:hint="eastAsia" w:ascii="宋体" w:hAnsi="宋体"/>
          <w:sz w:val="24"/>
        </w:rPr>
        <w:t>掌握一定文化基础知识和创新创业能力</w:t>
      </w:r>
      <w:r>
        <w:rPr>
          <w:rFonts w:hint="eastAsia"/>
          <w:sz w:val="24"/>
        </w:rPr>
        <w:t>，并强化手工和计算机处理进出口业务的技能训练，有较强实践操作能力，并对当前的国际商务和报关问题进行分析、判断解决的能力的</w:t>
      </w:r>
      <w:r>
        <w:rPr>
          <w:rFonts w:hint="eastAsia" w:ascii="宋体" w:hAnsi="宋体"/>
          <w:sz w:val="24"/>
        </w:rPr>
        <w:t>守法、诚信、敬业的高技能商务人才</w:t>
      </w:r>
      <w:r>
        <w:rPr>
          <w:rFonts w:hint="eastAsia"/>
          <w:sz w:val="24"/>
        </w:rPr>
        <w:t>。</w:t>
      </w:r>
      <w:r>
        <w:rPr>
          <w:rFonts w:hint="eastAsia" w:ascii="宋体" w:hAnsi="宋体"/>
          <w:sz w:val="24"/>
        </w:rPr>
        <w:t>同时本专业还培养学生有扎实深厚的文化基础和专业基础，为高等教育输送人才。</w:t>
      </w:r>
    </w:p>
    <w:p>
      <w:pPr>
        <w:spacing w:line="440" w:lineRule="exact"/>
        <w:ind w:firstLine="480"/>
        <w:rPr>
          <w:sz w:val="24"/>
        </w:rPr>
      </w:pPr>
    </w:p>
    <w:p>
      <w:pPr>
        <w:pStyle w:val="2"/>
        <w:rPr>
          <w:rFonts w:asciiTheme="minorEastAsia" w:hAnsiTheme="minorEastAsia" w:eastAsiaTheme="minorEastAsia"/>
          <w:sz w:val="24"/>
          <w:szCs w:val="24"/>
        </w:rPr>
      </w:pPr>
      <w:bookmarkStart w:id="6" w:name="_Toc531989322"/>
      <w:bookmarkStart w:id="7" w:name="_Toc531988926"/>
      <w:bookmarkStart w:id="8" w:name="_Toc531990318"/>
      <w:r>
        <w:rPr>
          <w:rFonts w:hint="eastAsia" w:asciiTheme="minorEastAsia" w:hAnsiTheme="minorEastAsia"/>
          <w:sz w:val="24"/>
          <w:szCs w:val="24"/>
          <w:lang w:eastAsia="zh-CN"/>
        </w:rPr>
        <w:t>三</w:t>
      </w:r>
      <w:r>
        <w:rPr>
          <w:rFonts w:hint="eastAsia" w:asciiTheme="minorEastAsia" w:hAnsiTheme="minorEastAsia" w:eastAsiaTheme="minorEastAsia"/>
          <w:sz w:val="24"/>
          <w:szCs w:val="24"/>
        </w:rPr>
        <w:t>、培养模式</w:t>
      </w:r>
      <w:bookmarkEnd w:id="6"/>
      <w:bookmarkEnd w:id="7"/>
      <w:bookmarkEnd w:id="8"/>
    </w:p>
    <w:p>
      <w:pPr>
        <w:ind w:firstLine="480"/>
        <w:rPr>
          <w:rFonts w:ascii="宋体" w:hAnsi="宋体"/>
          <w:color w:val="000000"/>
          <w:sz w:val="24"/>
        </w:rPr>
      </w:pPr>
      <w:r>
        <w:rPr>
          <w:rFonts w:hint="eastAsia" w:ascii="宋体" w:hAnsi="宋体"/>
          <w:color w:val="000000"/>
          <w:sz w:val="24"/>
        </w:rPr>
        <w:t>根据中职教育的培养目标，深入企业了解职业岗位知识结构、能力结构的需求状况，兼顾学业水平测试和创新创业能力，适时调整教学计划，完善教学大纲，采用学分制和弹性教学计划，并推行“2.5+0.5”教学模式，推行产教融合教学模式，课程设置侧重实践技能。</w:t>
      </w:r>
    </w:p>
    <w:p>
      <w:pPr>
        <w:ind w:firstLine="480"/>
        <w:jc w:val="left"/>
        <w:rPr>
          <w:rFonts w:ascii="宋体" w:hAnsi="宋体"/>
          <w:color w:val="000000"/>
          <w:sz w:val="24"/>
        </w:rPr>
      </w:pPr>
      <w:r>
        <w:rPr>
          <w:rFonts w:ascii="宋体" w:hAnsi="宋体"/>
          <w:color w:val="000000"/>
          <w:sz w:val="24"/>
        </w:rPr>
        <w:t>根据</w:t>
      </w:r>
      <w:r>
        <w:rPr>
          <w:rFonts w:hint="eastAsia" w:ascii="宋体" w:hAnsi="宋体"/>
          <w:color w:val="000000"/>
          <w:sz w:val="24"/>
        </w:rPr>
        <w:t>职业</w:t>
      </w:r>
      <w:r>
        <w:rPr>
          <w:rFonts w:ascii="宋体" w:hAnsi="宋体"/>
          <w:color w:val="000000"/>
          <w:sz w:val="24"/>
        </w:rPr>
        <w:t>人才培养目标的定位，将技能培养与素质教育的思想贯穿于教育教学的全过程，理论教学要以应用为目的，以必需、够用为度，以讲清概念、强化应用为重点，把真正属于基础性的东西精选出来；专业课教学要突出实用性与技能性操作的要求</w:t>
      </w:r>
      <w:r>
        <w:rPr>
          <w:rFonts w:hint="eastAsia" w:ascii="宋体" w:hAnsi="宋体"/>
          <w:color w:val="000000"/>
          <w:sz w:val="24"/>
        </w:rPr>
        <w:t>。融入岗位工作任务、工作流程和工作标准，实现课程标准与岗位标准直通。</w:t>
      </w:r>
    </w:p>
    <w:p>
      <w:pPr>
        <w:ind w:firstLine="480"/>
        <w:rPr>
          <w:rFonts w:ascii="宋体" w:hAnsi="宋体"/>
          <w:color w:val="000000"/>
          <w:sz w:val="24"/>
        </w:rPr>
      </w:pPr>
    </w:p>
    <w:p>
      <w:pPr>
        <w:ind w:firstLine="480"/>
        <w:rPr>
          <w:rFonts w:ascii="宋体" w:hAnsi="宋体"/>
          <w:color w:val="000000"/>
          <w:sz w:val="24"/>
        </w:rPr>
      </w:pPr>
    </w:p>
    <w:bookmarkEnd w:id="4"/>
    <w:bookmarkEnd w:id="5"/>
    <w:p>
      <w:pPr>
        <w:pStyle w:val="2"/>
        <w:rPr>
          <w:rFonts w:asciiTheme="minorEastAsia" w:hAnsiTheme="minorEastAsia" w:eastAsiaTheme="minorEastAsia"/>
          <w:sz w:val="24"/>
          <w:szCs w:val="24"/>
        </w:rPr>
      </w:pPr>
      <w:bookmarkStart w:id="9" w:name="_Toc531102348"/>
      <w:bookmarkStart w:id="10" w:name="_Toc386447511"/>
      <w:r>
        <w:rPr>
          <w:rFonts w:hint="eastAsia" w:asciiTheme="minorEastAsia" w:hAnsiTheme="minorEastAsia"/>
          <w:sz w:val="24"/>
          <w:szCs w:val="24"/>
          <w:lang w:eastAsia="zh-CN"/>
        </w:rPr>
        <w:t>三</w:t>
      </w:r>
      <w:r>
        <w:rPr>
          <w:rFonts w:hint="eastAsia" w:asciiTheme="minorEastAsia" w:hAnsiTheme="minorEastAsia" w:eastAsiaTheme="minorEastAsia"/>
          <w:sz w:val="24"/>
          <w:szCs w:val="24"/>
        </w:rPr>
        <w:t>、人才规格</w:t>
      </w:r>
      <w:bookmarkEnd w:id="9"/>
      <w:bookmarkEnd w:id="10"/>
    </w:p>
    <w:p>
      <w:pPr>
        <w:spacing w:line="300" w:lineRule="auto"/>
        <w:ind w:firstLine="0" w:firstLineChars="0"/>
        <w:rPr>
          <w:sz w:val="24"/>
        </w:rPr>
      </w:pPr>
      <w:bookmarkStart w:id="11" w:name="_Toc386447520"/>
      <w:r>
        <w:rPr>
          <w:rFonts w:hint="eastAsia"/>
          <w:sz w:val="24"/>
        </w:rPr>
        <w:t>本专业主要加强以下方面的知识和能力培养，达到一定的专业基本能力。</w:t>
      </w:r>
    </w:p>
    <w:p>
      <w:pPr>
        <w:spacing w:line="300" w:lineRule="auto"/>
        <w:ind w:firstLine="480"/>
        <w:rPr>
          <w:sz w:val="24"/>
        </w:rPr>
      </w:pPr>
      <w:r>
        <w:rPr>
          <w:rFonts w:hint="eastAsia"/>
          <w:sz w:val="24"/>
        </w:rPr>
        <w:t>1．掌握国际贸易理论、国际贸易实务、国际金融、电子商务、报关等知识。</w:t>
      </w:r>
    </w:p>
    <w:p>
      <w:pPr>
        <w:spacing w:line="300" w:lineRule="auto"/>
        <w:ind w:firstLine="480"/>
        <w:rPr>
          <w:sz w:val="24"/>
        </w:rPr>
      </w:pPr>
      <w:r>
        <w:rPr>
          <w:rFonts w:hint="eastAsia"/>
          <w:sz w:val="24"/>
        </w:rPr>
        <w:t>2．熟练掌握进出口单证业务的全部操作过程。</w:t>
      </w:r>
    </w:p>
    <w:p>
      <w:pPr>
        <w:spacing w:line="300" w:lineRule="auto"/>
        <w:ind w:firstLine="480"/>
        <w:rPr>
          <w:sz w:val="24"/>
        </w:rPr>
      </w:pPr>
      <w:r>
        <w:rPr>
          <w:rFonts w:hint="eastAsia"/>
          <w:sz w:val="24"/>
        </w:rPr>
        <w:t>3、熟练掌握报关的全部操作过程。</w:t>
      </w:r>
    </w:p>
    <w:p>
      <w:pPr>
        <w:spacing w:line="300" w:lineRule="auto"/>
        <w:ind w:firstLine="480"/>
        <w:rPr>
          <w:sz w:val="24"/>
        </w:rPr>
      </w:pPr>
      <w:r>
        <w:rPr>
          <w:rFonts w:hint="eastAsia"/>
          <w:sz w:val="24"/>
        </w:rPr>
        <w:t>4．具有较强的计算机操作能力，熟练运用软件完成国际商务和报关的处理。</w:t>
      </w:r>
    </w:p>
    <w:p>
      <w:pPr>
        <w:spacing w:line="300" w:lineRule="auto"/>
        <w:ind w:firstLine="480"/>
        <w:rPr>
          <w:sz w:val="24"/>
        </w:rPr>
      </w:pPr>
      <w:r>
        <w:rPr>
          <w:rFonts w:hint="eastAsia"/>
          <w:sz w:val="24"/>
        </w:rPr>
        <w:t>5．掌握国际金融原理和国际结算的一般方法。</w:t>
      </w:r>
    </w:p>
    <w:p>
      <w:pPr>
        <w:spacing w:line="300" w:lineRule="auto"/>
        <w:ind w:firstLine="480"/>
        <w:rPr>
          <w:sz w:val="24"/>
        </w:rPr>
      </w:pPr>
      <w:r>
        <w:rPr>
          <w:rFonts w:hint="eastAsia"/>
          <w:sz w:val="24"/>
        </w:rPr>
        <w:t>6．掌握法律知识。利用法律、惯例解决国际贸易的争议。</w:t>
      </w:r>
    </w:p>
    <w:p>
      <w:pPr>
        <w:spacing w:line="440" w:lineRule="exact"/>
        <w:ind w:firstLine="480"/>
        <w:rPr>
          <w:sz w:val="24"/>
        </w:rPr>
      </w:pPr>
      <w:r>
        <w:rPr>
          <w:rFonts w:hint="eastAsia"/>
          <w:sz w:val="24"/>
        </w:rPr>
        <w:t>7、能合理选取国际商务与报关的相关要素，具有较高的质量和效益意识；</w:t>
      </w:r>
    </w:p>
    <w:p>
      <w:pPr>
        <w:spacing w:line="440" w:lineRule="exact"/>
        <w:ind w:firstLine="480"/>
        <w:rPr>
          <w:sz w:val="24"/>
        </w:rPr>
      </w:pPr>
      <w:r>
        <w:rPr>
          <w:rFonts w:hint="eastAsia"/>
          <w:sz w:val="24"/>
        </w:rPr>
        <w:t>8了解国际商务与报关的发展方向，具备继续学习和适应职业变化的能力；</w:t>
      </w:r>
    </w:p>
    <w:p>
      <w:pPr>
        <w:spacing w:line="440" w:lineRule="exact"/>
        <w:ind w:firstLine="480"/>
        <w:rPr>
          <w:sz w:val="24"/>
        </w:rPr>
      </w:pPr>
      <w:r>
        <w:rPr>
          <w:rFonts w:hint="eastAsia"/>
          <w:sz w:val="24"/>
        </w:rPr>
        <w:t>9能借助词典阅读一般专业英文技术资料；</w:t>
      </w:r>
    </w:p>
    <w:p>
      <w:pPr>
        <w:spacing w:line="440" w:lineRule="exact"/>
        <w:ind w:firstLine="480"/>
        <w:rPr>
          <w:sz w:val="24"/>
        </w:rPr>
      </w:pPr>
      <w:r>
        <w:rPr>
          <w:rFonts w:hint="eastAsia"/>
          <w:sz w:val="24"/>
        </w:rPr>
        <w:t>10、具有良好的人际交流能力、团队合作精神和客户服务意识；</w:t>
      </w:r>
    </w:p>
    <w:p>
      <w:pPr>
        <w:spacing w:line="440" w:lineRule="exact"/>
        <w:ind w:firstLine="480"/>
        <w:rPr>
          <w:sz w:val="24"/>
        </w:rPr>
      </w:pPr>
      <w:r>
        <w:rPr>
          <w:rFonts w:hint="eastAsia"/>
          <w:sz w:val="24"/>
        </w:rPr>
        <w:t>11、取得国际商务单证员职业资格证书，有较强就业竞争力。</w:t>
      </w:r>
    </w:p>
    <w:p>
      <w:pPr>
        <w:spacing w:line="440" w:lineRule="exact"/>
        <w:ind w:firstLine="480"/>
        <w:rPr>
          <w:sz w:val="24"/>
        </w:rPr>
      </w:pPr>
      <w:r>
        <w:rPr>
          <w:rFonts w:hint="eastAsia"/>
          <w:sz w:val="24"/>
        </w:rPr>
        <w:t>12、具有良好的职业素养，能自觉遵守行业法规、规范和企业规章制度，具有一定的创新创业能力。</w:t>
      </w:r>
    </w:p>
    <w:p>
      <w:pPr>
        <w:spacing w:line="440" w:lineRule="exact"/>
        <w:ind w:firstLine="480"/>
        <w:rPr>
          <w:sz w:val="24"/>
        </w:rPr>
      </w:pPr>
      <w:r>
        <w:rPr>
          <w:rFonts w:hint="eastAsia"/>
          <w:sz w:val="24"/>
        </w:rPr>
        <w:t>13、具有科学的世界观、人生观</w:t>
      </w:r>
      <w:r>
        <w:rPr>
          <w:rFonts w:hint="eastAsia"/>
          <w:sz w:val="24"/>
          <w:lang w:eastAsia="zh-CN"/>
        </w:rPr>
        <w:t>及对人类、民族和文化上正确的认同，具有</w:t>
      </w:r>
      <w:r>
        <w:rPr>
          <w:rFonts w:hint="eastAsia"/>
          <w:sz w:val="24"/>
        </w:rPr>
        <w:t>良好的职业道德和行为规范。</w:t>
      </w:r>
    </w:p>
    <w:p>
      <w:pPr>
        <w:pStyle w:val="2"/>
        <w:rPr>
          <w:rFonts w:asciiTheme="minorEastAsia" w:hAnsiTheme="minorEastAsia" w:eastAsiaTheme="minorEastAsia"/>
          <w:sz w:val="24"/>
          <w:szCs w:val="24"/>
        </w:rPr>
      </w:pPr>
    </w:p>
    <w:p>
      <w:pPr>
        <w:ind w:firstLine="420"/>
      </w:pPr>
    </w:p>
    <w:p>
      <w:pPr>
        <w:pStyle w:val="2"/>
        <w:rPr>
          <w:rFonts w:asciiTheme="minorEastAsia" w:hAnsiTheme="minorEastAsia" w:eastAsiaTheme="minorEastAsia"/>
          <w:sz w:val="24"/>
        </w:rPr>
      </w:pPr>
      <w:r>
        <w:rPr>
          <w:rFonts w:hint="eastAsia" w:asciiTheme="minorEastAsia" w:hAnsiTheme="minorEastAsia"/>
          <w:sz w:val="24"/>
          <w:szCs w:val="24"/>
          <w:lang w:eastAsia="zh-CN"/>
        </w:rPr>
        <w:t>四</w:t>
      </w:r>
      <w:r>
        <w:rPr>
          <w:rFonts w:hint="eastAsia" w:asciiTheme="minorEastAsia" w:hAnsiTheme="minorEastAsia" w:eastAsiaTheme="minorEastAsia"/>
          <w:sz w:val="24"/>
          <w:szCs w:val="24"/>
        </w:rPr>
        <w:t>、</w:t>
      </w:r>
      <w:bookmarkEnd w:id="11"/>
      <w:bookmarkStart w:id="12" w:name="_Toc531102350"/>
      <w:r>
        <w:rPr>
          <w:rFonts w:hint="eastAsia" w:asciiTheme="minorEastAsia" w:hAnsiTheme="minorEastAsia" w:eastAsiaTheme="minorEastAsia"/>
          <w:sz w:val="24"/>
        </w:rPr>
        <w:t>课程设置及要求</w:t>
      </w:r>
      <w:bookmarkEnd w:id="12"/>
    </w:p>
    <w:p>
      <w:pPr>
        <w:ind w:firstLine="480"/>
        <w:rPr>
          <w:rFonts w:asciiTheme="minorEastAsia" w:hAnsiTheme="minorEastAsia" w:eastAsiaTheme="minorEastAsia"/>
          <w:sz w:val="24"/>
        </w:rPr>
      </w:pPr>
      <w:r>
        <w:rPr>
          <w:rFonts w:hint="eastAsia" w:asciiTheme="minorEastAsia" w:hAnsiTheme="minorEastAsia" w:eastAsiaTheme="minorEastAsia"/>
          <w:sz w:val="24"/>
        </w:rPr>
        <w:t>本专业课程设置分为公共基础课和专业技能课。</w:t>
      </w:r>
    </w:p>
    <w:p>
      <w:pPr>
        <w:ind w:firstLine="480"/>
        <w:rPr>
          <w:rFonts w:asciiTheme="minorEastAsia" w:hAnsiTheme="minorEastAsia" w:eastAsiaTheme="minorEastAsia"/>
          <w:sz w:val="24"/>
        </w:rPr>
      </w:pPr>
      <w:r>
        <w:rPr>
          <w:rFonts w:hint="eastAsia" w:asciiTheme="minorEastAsia" w:hAnsiTheme="minorEastAsia" w:eastAsiaTheme="minorEastAsia"/>
          <w:sz w:val="24"/>
        </w:rPr>
        <w:t>公共基础课包括德育课、文化课、体育课与健康、工共艺术、历史，以及其他自然科学和人文科学类基础课。</w:t>
      </w:r>
    </w:p>
    <w:p>
      <w:pPr>
        <w:ind w:firstLine="480"/>
        <w:rPr>
          <w:rFonts w:asciiTheme="minorEastAsia" w:hAnsiTheme="minorEastAsia" w:eastAsiaTheme="minorEastAsia"/>
          <w:sz w:val="24"/>
        </w:rPr>
      </w:pPr>
      <w:r>
        <w:rPr>
          <w:rFonts w:hint="eastAsia" w:asciiTheme="minorEastAsia" w:hAnsiTheme="minorEastAsia" w:eastAsiaTheme="minorEastAsia"/>
          <w:sz w:val="24"/>
        </w:rPr>
        <w:t>专业技能课包括专业核心课、专业（技能）方面课和专业选修课，实训实习是专业技能课教学的重要内容，含校内外实训、顶岗实习等多种形式。</w:t>
      </w:r>
    </w:p>
    <w:p>
      <w:pPr>
        <w:spacing w:line="360" w:lineRule="auto"/>
        <w:ind w:firstLine="480" w:firstLineChars="200"/>
        <w:rPr>
          <w:rStyle w:val="14"/>
          <w:rFonts w:hint="eastAsia" w:cs="宋体" w:asciiTheme="minorEastAsia" w:hAnsiTheme="minorEastAsia"/>
          <w:color w:val="000000" w:themeColor="text1"/>
          <w:kern w:val="0"/>
          <w:sz w:val="24"/>
          <w:szCs w:val="24"/>
          <w:u w:val="none"/>
          <w14:textFill>
            <w14:solidFill>
              <w14:schemeClr w14:val="tx1"/>
            </w14:solidFill>
          </w14:textFill>
        </w:rPr>
      </w:pPr>
    </w:p>
    <w:p>
      <w:pPr>
        <w:spacing w:line="360" w:lineRule="auto"/>
        <w:ind w:firstLine="480" w:firstLineChars="200"/>
        <w:rPr>
          <w:rFonts w:ascii="宋体" w:hAnsi="宋体" w:eastAsia="宋体"/>
          <w:color w:val="000000" w:themeColor="text1"/>
          <w:sz w:val="24"/>
          <w14:textFill>
            <w14:solidFill>
              <w14:schemeClr w14:val="tx1"/>
            </w14:solidFill>
          </w14:textFill>
        </w:rPr>
      </w:pPr>
    </w:p>
    <w:sectPr>
      <w:headerReference r:id="rId3" w:type="default"/>
      <w:footerReference r:id="rId4" w:type="default"/>
      <w:footerReference r:id="rId5" w:type="even"/>
      <w:pgSz w:w="11920" w:h="16840"/>
      <w:pgMar w:top="1040" w:right="740" w:bottom="280" w:left="7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 xml:space="preserve"> </w:t>
    </w:r>
    <w:r>
      <w:rPr>
        <w:rStyle w:val="13"/>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63AA5"/>
    <w:multiLevelType w:val="multilevel"/>
    <w:tmpl w:val="3AE63AA5"/>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7DA02A"/>
    <w:multiLevelType w:val="singleLevel"/>
    <w:tmpl w:val="507DA02A"/>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CC"/>
    <w:rsid w:val="000064E0"/>
    <w:rsid w:val="00017BD1"/>
    <w:rsid w:val="000329E8"/>
    <w:rsid w:val="000511B0"/>
    <w:rsid w:val="000637CA"/>
    <w:rsid w:val="00071899"/>
    <w:rsid w:val="000B0345"/>
    <w:rsid w:val="000B3B6E"/>
    <w:rsid w:val="000F5E1C"/>
    <w:rsid w:val="00143A11"/>
    <w:rsid w:val="001563D7"/>
    <w:rsid w:val="00163404"/>
    <w:rsid w:val="001930D5"/>
    <w:rsid w:val="001A1D9C"/>
    <w:rsid w:val="001E0754"/>
    <w:rsid w:val="001F7C86"/>
    <w:rsid w:val="002002D6"/>
    <w:rsid w:val="002047BD"/>
    <w:rsid w:val="0020713B"/>
    <w:rsid w:val="00221C35"/>
    <w:rsid w:val="0022628C"/>
    <w:rsid w:val="0023647F"/>
    <w:rsid w:val="00247F9E"/>
    <w:rsid w:val="00274BA5"/>
    <w:rsid w:val="0028079A"/>
    <w:rsid w:val="0029670B"/>
    <w:rsid w:val="002B1E24"/>
    <w:rsid w:val="002B2EA6"/>
    <w:rsid w:val="002F083F"/>
    <w:rsid w:val="002F7076"/>
    <w:rsid w:val="003013B9"/>
    <w:rsid w:val="00315365"/>
    <w:rsid w:val="0032759D"/>
    <w:rsid w:val="00334A01"/>
    <w:rsid w:val="003550E2"/>
    <w:rsid w:val="00371B45"/>
    <w:rsid w:val="00381E70"/>
    <w:rsid w:val="00397D8A"/>
    <w:rsid w:val="003A24B8"/>
    <w:rsid w:val="003C3BCD"/>
    <w:rsid w:val="003E774C"/>
    <w:rsid w:val="003F34A6"/>
    <w:rsid w:val="0041627F"/>
    <w:rsid w:val="00425099"/>
    <w:rsid w:val="00436DD4"/>
    <w:rsid w:val="00453281"/>
    <w:rsid w:val="00470D63"/>
    <w:rsid w:val="004716EA"/>
    <w:rsid w:val="00472C20"/>
    <w:rsid w:val="00472D93"/>
    <w:rsid w:val="0049242B"/>
    <w:rsid w:val="004A66CC"/>
    <w:rsid w:val="004C5E07"/>
    <w:rsid w:val="004D46CB"/>
    <w:rsid w:val="004D66C7"/>
    <w:rsid w:val="004F1063"/>
    <w:rsid w:val="0050134E"/>
    <w:rsid w:val="005056EA"/>
    <w:rsid w:val="00541A99"/>
    <w:rsid w:val="005642EE"/>
    <w:rsid w:val="005664B0"/>
    <w:rsid w:val="00570589"/>
    <w:rsid w:val="005825FC"/>
    <w:rsid w:val="00586B22"/>
    <w:rsid w:val="0059364A"/>
    <w:rsid w:val="005C60EA"/>
    <w:rsid w:val="005F72A0"/>
    <w:rsid w:val="006006F7"/>
    <w:rsid w:val="00615084"/>
    <w:rsid w:val="00621037"/>
    <w:rsid w:val="006242CC"/>
    <w:rsid w:val="006421B7"/>
    <w:rsid w:val="00657CA9"/>
    <w:rsid w:val="00676476"/>
    <w:rsid w:val="006D10C6"/>
    <w:rsid w:val="006E03F7"/>
    <w:rsid w:val="006F277F"/>
    <w:rsid w:val="006F359C"/>
    <w:rsid w:val="0070193D"/>
    <w:rsid w:val="00704BFB"/>
    <w:rsid w:val="00713AA8"/>
    <w:rsid w:val="007327CD"/>
    <w:rsid w:val="00741F5D"/>
    <w:rsid w:val="00743D34"/>
    <w:rsid w:val="007816C8"/>
    <w:rsid w:val="00794879"/>
    <w:rsid w:val="007A60E8"/>
    <w:rsid w:val="007B39B3"/>
    <w:rsid w:val="007C73A1"/>
    <w:rsid w:val="007D793E"/>
    <w:rsid w:val="007D7A18"/>
    <w:rsid w:val="007E4A2E"/>
    <w:rsid w:val="007E774D"/>
    <w:rsid w:val="00811D68"/>
    <w:rsid w:val="00817C46"/>
    <w:rsid w:val="00837F40"/>
    <w:rsid w:val="008462CC"/>
    <w:rsid w:val="00857D7E"/>
    <w:rsid w:val="00872551"/>
    <w:rsid w:val="00890E16"/>
    <w:rsid w:val="008F74E5"/>
    <w:rsid w:val="009058DF"/>
    <w:rsid w:val="0091417A"/>
    <w:rsid w:val="0095476A"/>
    <w:rsid w:val="009755A6"/>
    <w:rsid w:val="00981211"/>
    <w:rsid w:val="00983125"/>
    <w:rsid w:val="009C0AF3"/>
    <w:rsid w:val="009E6843"/>
    <w:rsid w:val="009F1DF3"/>
    <w:rsid w:val="00A57326"/>
    <w:rsid w:val="00A61206"/>
    <w:rsid w:val="00A64672"/>
    <w:rsid w:val="00A6665D"/>
    <w:rsid w:val="00A72199"/>
    <w:rsid w:val="00A8304E"/>
    <w:rsid w:val="00A86D44"/>
    <w:rsid w:val="00A90197"/>
    <w:rsid w:val="00A95C13"/>
    <w:rsid w:val="00AA3B2F"/>
    <w:rsid w:val="00AD2FD7"/>
    <w:rsid w:val="00B00464"/>
    <w:rsid w:val="00B124DA"/>
    <w:rsid w:val="00B3234B"/>
    <w:rsid w:val="00B9013C"/>
    <w:rsid w:val="00BA1106"/>
    <w:rsid w:val="00BA47E1"/>
    <w:rsid w:val="00BC1A90"/>
    <w:rsid w:val="00BC6455"/>
    <w:rsid w:val="00C14F28"/>
    <w:rsid w:val="00C347B9"/>
    <w:rsid w:val="00C929F2"/>
    <w:rsid w:val="00C92EEB"/>
    <w:rsid w:val="00CA7874"/>
    <w:rsid w:val="00CB4357"/>
    <w:rsid w:val="00CC3155"/>
    <w:rsid w:val="00CC65BB"/>
    <w:rsid w:val="00D1159D"/>
    <w:rsid w:val="00D3128C"/>
    <w:rsid w:val="00D64F30"/>
    <w:rsid w:val="00D763D0"/>
    <w:rsid w:val="00D95580"/>
    <w:rsid w:val="00DA2278"/>
    <w:rsid w:val="00DE251B"/>
    <w:rsid w:val="00E308B8"/>
    <w:rsid w:val="00E33A69"/>
    <w:rsid w:val="00EA1D07"/>
    <w:rsid w:val="00EA4B33"/>
    <w:rsid w:val="00EA7EFF"/>
    <w:rsid w:val="00EB5F3B"/>
    <w:rsid w:val="00EB7D39"/>
    <w:rsid w:val="00F05F71"/>
    <w:rsid w:val="00F06198"/>
    <w:rsid w:val="00F30F67"/>
    <w:rsid w:val="00F51176"/>
    <w:rsid w:val="00F712D5"/>
    <w:rsid w:val="00F763BA"/>
    <w:rsid w:val="00F82A7B"/>
    <w:rsid w:val="00F86184"/>
    <w:rsid w:val="00FC6748"/>
    <w:rsid w:val="00FC695F"/>
    <w:rsid w:val="00FD2389"/>
    <w:rsid w:val="00FD3266"/>
    <w:rsid w:val="00FE2F0D"/>
    <w:rsid w:val="021536BC"/>
    <w:rsid w:val="07D344EA"/>
    <w:rsid w:val="20B67331"/>
    <w:rsid w:val="24D06D33"/>
    <w:rsid w:val="282C73BE"/>
    <w:rsid w:val="2C8B7474"/>
    <w:rsid w:val="2C8C530A"/>
    <w:rsid w:val="2FF03E4F"/>
    <w:rsid w:val="33CB2754"/>
    <w:rsid w:val="39414EBD"/>
    <w:rsid w:val="3B4366BF"/>
    <w:rsid w:val="43391C0D"/>
    <w:rsid w:val="4D991D83"/>
    <w:rsid w:val="51914B60"/>
    <w:rsid w:val="51C23FC1"/>
    <w:rsid w:val="5A502D67"/>
    <w:rsid w:val="5A51668B"/>
    <w:rsid w:val="603D3D51"/>
    <w:rsid w:val="6661709D"/>
    <w:rsid w:val="66DF0DA3"/>
    <w:rsid w:val="6D1137CA"/>
    <w:rsid w:val="7AE8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line="360" w:lineRule="auto"/>
      <w:outlineLvl w:val="0"/>
    </w:pPr>
    <w:rPr>
      <w:rFonts w:asciiTheme="minorAscii" w:hAnsiTheme="minorAscii"/>
      <w:b/>
      <w:bCs/>
      <w:kern w:val="44"/>
      <w:sz w:val="28"/>
      <w:szCs w:val="44"/>
    </w:rPr>
  </w:style>
  <w:style w:type="paragraph" w:styleId="3">
    <w:name w:val="heading 2"/>
    <w:basedOn w:val="1"/>
    <w:next w:val="1"/>
    <w:link w:val="22"/>
    <w:unhideWhenUsed/>
    <w:qFormat/>
    <w:uiPriority w:val="9"/>
    <w:pPr>
      <w:keepNext/>
      <w:keepLines/>
      <w:numPr>
        <w:ilvl w:val="0"/>
        <w:numId w:val="1"/>
      </w:numPr>
      <w:spacing w:before="50" w:beforeLines="50" w:line="415" w:lineRule="auto"/>
      <w:ind w:left="0" w:hanging="200" w:hangingChars="200"/>
      <w:outlineLvl w:val="1"/>
    </w:pPr>
    <w:rPr>
      <w:rFonts w:asciiTheme="majorHAnsi" w:hAnsiTheme="majorHAnsi" w:eastAsiaTheme="majorEastAsia" w:cstheme="majorBidi"/>
      <w:b/>
      <w:bCs/>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widowControl/>
      <w:spacing w:after="200" w:line="276" w:lineRule="auto"/>
      <w:jc w:val="left"/>
    </w:pPr>
    <w:rPr>
      <w:rFonts w:ascii="Calibri" w:hAnsi="Calibri" w:eastAsia="宋体" w:cs="Times New Roman"/>
      <w:kern w:val="0"/>
      <w:sz w:val="22"/>
      <w:lang w:eastAsia="en-US"/>
    </w:rPr>
  </w:style>
  <w:style w:type="paragraph" w:styleId="5">
    <w:name w:val="Plain Text"/>
    <w:basedOn w:val="1"/>
    <w:unhideWhenUsed/>
    <w:qFormat/>
    <w:uiPriority w:val="0"/>
    <w:rPr>
      <w:rFonts w:ascii="宋体" w:hAnsi="Courier New" w:cs="Courier New"/>
      <w:szCs w:val="21"/>
    </w:rPr>
  </w:style>
  <w:style w:type="paragraph" w:styleId="6">
    <w:name w:val="Balloon Text"/>
    <w:basedOn w:val="1"/>
    <w:link w:val="19"/>
    <w:unhideWhenUsed/>
    <w:qFormat/>
    <w:uiPriority w:val="0"/>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qFormat/>
    <w:uiPriority w:val="0"/>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2"/>
    <w:link w:val="6"/>
    <w:semiHidden/>
    <w:qFormat/>
    <w:uiPriority w:val="99"/>
    <w:rPr>
      <w:sz w:val="18"/>
      <w:szCs w:val="18"/>
    </w:rPr>
  </w:style>
  <w:style w:type="character" w:customStyle="1" w:styleId="20">
    <w:name w:val="批注文字 Char"/>
    <w:basedOn w:val="12"/>
    <w:link w:val="4"/>
    <w:qFormat/>
    <w:uiPriority w:val="0"/>
    <w:rPr>
      <w:rFonts w:ascii="Calibri" w:hAnsi="Calibri" w:eastAsia="宋体" w:cs="Times New Roman"/>
      <w:kern w:val="0"/>
      <w:sz w:val="22"/>
      <w:lang w:eastAsia="en-US"/>
    </w:rPr>
  </w:style>
  <w:style w:type="character" w:customStyle="1" w:styleId="21">
    <w:name w:val="批注主题 Char"/>
    <w:basedOn w:val="20"/>
    <w:link w:val="9"/>
    <w:qFormat/>
    <w:uiPriority w:val="0"/>
    <w:rPr>
      <w:rFonts w:ascii="Calibri" w:hAnsi="Calibri" w:eastAsia="宋体" w:cs="Times New Roman"/>
      <w:b/>
      <w:bCs/>
      <w:kern w:val="0"/>
      <w:sz w:val="22"/>
      <w:lang w:eastAsia="en-US"/>
    </w:rPr>
  </w:style>
  <w:style w:type="character" w:customStyle="1" w:styleId="22">
    <w:name w:val="标题 2 Char"/>
    <w:basedOn w:val="12"/>
    <w:link w:val="3"/>
    <w:qFormat/>
    <w:uiPriority w:val="9"/>
    <w:rPr>
      <w:rFonts w:asciiTheme="majorHAnsi" w:hAnsiTheme="majorHAnsi" w:eastAsiaTheme="majorEastAsia" w:cstheme="majorBidi"/>
      <w:b/>
      <w:bCs/>
      <w:sz w:val="28"/>
      <w:szCs w:val="32"/>
    </w:rPr>
  </w:style>
  <w:style w:type="character" w:customStyle="1" w:styleId="23">
    <w:name w:val="标题 1 Char"/>
    <w:basedOn w:val="12"/>
    <w:link w:val="2"/>
    <w:qFormat/>
    <w:uiPriority w:val="9"/>
    <w:rPr>
      <w:rFonts w:asciiTheme="minorAscii" w:hAnsiTheme="minorAscii" w:eastAsiaTheme="minorEastAsia"/>
      <w:b/>
      <w:bCs/>
      <w:kern w:val="44"/>
      <w:sz w:val="28"/>
      <w:szCs w:val="44"/>
    </w:rPr>
  </w:style>
  <w:style w:type="paragraph" w:customStyle="1" w:styleId="24">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jmgyxx</Company>
  <Pages>1</Pages>
  <Words>242</Words>
  <Characters>1384</Characters>
  <Lines>11</Lines>
  <Paragraphs>3</Paragraphs>
  <TotalTime>0</TotalTime>
  <ScaleCrop>false</ScaleCrop>
  <LinksUpToDate>false</LinksUpToDate>
  <CharactersWithSpaces>1623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2020-04-27T23:58:00Z</dcterms:created>
  <dc:creator>汤明利</dc:creator>
  <cp:lastModifiedBy>Administrator</cp:lastModifiedBy>
  <dcterms:modified xsi:type="dcterms:W3CDTF">2020-11-22T08:31:51Z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