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widowControl/>
        <w:jc w:val="left"/>
        <w:rPr>
          <w:rFonts w:ascii="宋体" w:hAnsi="宋体" w:eastAsia="宋体" w:cs="宋体"/>
          <w:b/>
          <w:bCs/>
          <w:kern w:val="44"/>
          <w:sz w:val="32"/>
          <w:szCs w:val="32"/>
        </w:rPr>
      </w:pPr>
      <w:r>
        <mc:AlternateContent>
          <mc:Choice Requires="wps">
            <w:drawing>
              <wp:anchor distT="45720" distB="45720" distL="114300" distR="114300" simplePos="0" relativeHeight="251659264" behindDoc="0" locked="0" layoutInCell="1" allowOverlap="1">
                <wp:simplePos x="0" y="0"/>
                <wp:positionH relativeFrom="column">
                  <wp:posOffset>848360</wp:posOffset>
                </wp:positionH>
                <wp:positionV relativeFrom="paragraph">
                  <wp:posOffset>952500</wp:posOffset>
                </wp:positionV>
                <wp:extent cx="3665855" cy="1404620"/>
                <wp:effectExtent l="0" t="0" r="17145"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665855" cy="1404620"/>
                        </a:xfrm>
                        <a:prstGeom prst="rect">
                          <a:avLst/>
                        </a:prstGeom>
                        <a:solidFill>
                          <a:srgbClr val="FFFFFF"/>
                        </a:solidFill>
                        <a:ln w="9525">
                          <a:noFill/>
                          <a:miter lim="800000"/>
                        </a:ln>
                      </wps:spPr>
                      <wps:txbx>
                        <w:txbxContent>
                          <w:p>
                            <w:pPr>
                              <w:ind w:firstLine="780" w:firstLineChars="150"/>
                              <w:rPr>
                                <w:rFonts w:ascii="微软雅黑" w:hAnsi="微软雅黑" w:eastAsia="微软雅黑"/>
                                <w:b/>
                                <w:bCs/>
                                <w:sz w:val="52"/>
                                <w:szCs w:val="56"/>
                              </w:rPr>
                            </w:pPr>
                            <w:r>
                              <w:rPr>
                                <w:rFonts w:hint="eastAsia" w:ascii="微软雅黑" w:hAnsi="微软雅黑" w:eastAsia="微软雅黑"/>
                                <w:b/>
                                <w:bCs/>
                                <w:sz w:val="52"/>
                                <w:szCs w:val="56"/>
                                <w:lang w:val="en-US" w:eastAsia="zh-Hans"/>
                              </w:rPr>
                              <w:t>集美工业</w:t>
                            </w:r>
                            <w:r>
                              <w:rPr>
                                <w:rFonts w:hint="eastAsia" w:ascii="微软雅黑" w:hAnsi="微软雅黑" w:eastAsia="微软雅黑"/>
                                <w:b/>
                                <w:bCs/>
                                <w:sz w:val="52"/>
                                <w:szCs w:val="56"/>
                              </w:rPr>
                              <w:t>学校</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66.8pt;margin-top:75pt;height:110.6pt;width:288.65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CgGtH9gAAAAL&#10;AQAADwAAAGRycy9kb3ducmV2LnhtbE2Py07DMBBF90j8gzVI7KidRn0Q4lSIig0LJAoSXbrxJI6I&#10;H7LdNPw9wwp2czVH91HvZjuyCWMavJNQLAQwdK3Xg+slfLw/322BpaycVqN3KOEbE+ya66taVdpf&#10;3BtOh9wzMnGpUhJMzqHiPLUGrUoLH9DRr/PRqkwy9lxHdSFzO/KlEGtu1eAowaiATwbbr8PZSvi0&#10;ZtD7+Hrs9DjtX7rHVZhjkPL2phAPwDLO+Q+G3/pUHRrqdPJnpxMbSZflmlA6VoJGEbEpxD2wk4Ry&#10;UyyBNzX/v6H5AVBLAwQUAAAACACHTuJAMI7GliACAAAHBAAADgAAAGRycy9lMm9Eb2MueG1srVPN&#10;jtMwEL4j8Q6W7zRJabvdqOlq6aoIafmRFh7AdZzGwvYY222yPAD7Bpy4cOe5+hyM3WyplhvCB8vj&#10;mfk8883nxVWvFdkL5yWYihajnBJhONTSbCv66eP6xZwSH5ipmQIjKnovPL1aPn+26GwpxtCCqoUj&#10;CGJ82dmKtiHYMss8b4VmfgRWGHQ24DQLaLptVjvWIbpW2TjPZ1kHrrYOuPAeb2+OTrpM+E0jeHjf&#10;NF4EoiqKtYW0u7Rv4p4tF6zcOmZbyYcy2D9UoZk0+OgJ6oYFRnZO/gWlJXfgoQkjDjqDppFcpB6w&#10;myJ/0s1dy6xIvSA53p5o8v8Plr/bf3BE1hUdFxeUGKZxSIfvD4cfvw4/v5FxJKizvsS4O4uRoX8F&#10;PQ46NevtLfDPnhhYtcxsxbVz0LWC1VhgETOzs9Qjjo8gm+4t1PgO2wVIQH3jdGQP+SCIjoO6Pw1H&#10;9IFwvHw5m03n0yklHH3FJJ/Mxml8GSsf063z4bUATeKhog6nn+DZ/taHWA4rH0Piax6UrNdSqWS4&#10;7WalHNkzVMo6rdTBkzBlSFfRy+l4mpANxPwkIi0DKllJXdF5HteQrszAQ2z9SELoN/3A6wbqe2TE&#10;wVGZ+JPw0IL7SkmHqqyo/7JjTlCi3hhk9bKYTKKMkzGZXiAFxJ17NuceZjhCVTRQcjyuQpJ+6tde&#10;I/trmXiJYzpWMtSKakt0DT8jyvncTlF//u/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oBrR/Y&#10;AAAACwEAAA8AAAAAAAAAAQAgAAAAIgAAAGRycy9kb3ducmV2LnhtbFBLAQIUABQAAAAIAIdO4kAw&#10;jsaWIAIAAAcEAAAOAAAAAAAAAAEAIAAAACcBAABkcnMvZTJvRG9jLnhtbFBLBQYAAAAABgAGAFkB&#10;AAC5BQAAAAA=&#10;">
                <v:fill on="t" focussize="0,0"/>
                <v:stroke on="f" miterlimit="8" joinstyle="miter"/>
                <v:imagedata o:title=""/>
                <o:lock v:ext="edit" aspectratio="f"/>
                <v:textbox style="mso-fit-shape-to-text:t;">
                  <w:txbxContent>
                    <w:p>
                      <w:pPr>
                        <w:ind w:firstLine="780" w:firstLineChars="150"/>
                        <w:rPr>
                          <w:rFonts w:ascii="微软雅黑" w:hAnsi="微软雅黑" w:eastAsia="微软雅黑"/>
                          <w:b/>
                          <w:bCs/>
                          <w:sz w:val="52"/>
                          <w:szCs w:val="56"/>
                        </w:rPr>
                      </w:pPr>
                      <w:r>
                        <w:rPr>
                          <w:rFonts w:hint="eastAsia" w:ascii="微软雅黑" w:hAnsi="微软雅黑" w:eastAsia="微软雅黑"/>
                          <w:b/>
                          <w:bCs/>
                          <w:sz w:val="52"/>
                          <w:szCs w:val="56"/>
                          <w:lang w:val="en-US" w:eastAsia="zh-Hans"/>
                        </w:rPr>
                        <w:t>集美工业</w:t>
                      </w:r>
                      <w:r>
                        <w:rPr>
                          <w:rFonts w:hint="eastAsia" w:ascii="微软雅黑" w:hAnsi="微软雅黑" w:eastAsia="微软雅黑"/>
                          <w:b/>
                          <w:bCs/>
                          <w:sz w:val="52"/>
                          <w:szCs w:val="56"/>
                        </w:rPr>
                        <w:t>学校</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2342515</wp:posOffset>
                </wp:positionV>
                <wp:extent cx="7595235" cy="1404620"/>
                <wp:effectExtent l="0" t="0" r="24765" b="1778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95235" cy="1404620"/>
                        </a:xfrm>
                        <a:prstGeom prst="rect">
                          <a:avLst/>
                        </a:prstGeom>
                        <a:solidFill>
                          <a:srgbClr val="FFFFFF"/>
                        </a:solidFill>
                        <a:ln w="9525">
                          <a:noFill/>
                          <a:miter lim="800000"/>
                        </a:ln>
                      </wps:spPr>
                      <wps:txbx>
                        <w:txbxContent>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default"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2022</w:t>
                            </w:r>
                            <w:r>
                              <w:rPr>
                                <w:rFonts w:hint="eastAsia" w:ascii="微软雅黑" w:hAnsi="微软雅黑" w:eastAsia="微软雅黑"/>
                                <w:color w:val="C00000"/>
                                <w:sz w:val="48"/>
                                <w:szCs w:val="52"/>
                                <w:lang w:val="en-US" w:eastAsia="zh-Hans"/>
                                <w14:shadow w14:blurRad="38100" w14:dist="25400" w14:dir="5400000" w14:sx="100000" w14:sy="100000" w14:kx="0" w14:ky="0" w14:algn="ctr">
                                  <w14:srgbClr w14:val="6E747A">
                                    <w14:alpha w14:val="57000"/>
                                  </w14:srgbClr>
                                </w14:shadow>
                              </w:rPr>
                              <w:t>年职业院校教师教学能力大赛</w:t>
                            </w:r>
                            <w:r>
                              <w:rPr>
                                <w:rFonts w:hint="default"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w:t>
                            </w:r>
                            <w:r>
                              <w:rPr>
                                <w:rFonts w:hint="eastAsia" w:ascii="微软雅黑" w:hAnsi="微软雅黑" w:eastAsia="微软雅黑"/>
                                <w:color w:val="C00000"/>
                                <w:sz w:val="48"/>
                                <w:szCs w:val="52"/>
                                <w:lang w:val="en-US" w:eastAsia="zh-Hans"/>
                                <w14:shadow w14:blurRad="38100" w14:dist="25400" w14:dir="5400000" w14:sx="100000" w14:sy="100000" w14:kx="0" w14:ky="0" w14:algn="ctr">
                                  <w14:srgbClr w14:val="6E747A">
                                    <w14:alpha w14:val="57000"/>
                                  </w14:srgbClr>
                                </w14:shadow>
                              </w:rPr>
                              <w:t>国赛</w:t>
                            </w:r>
                            <w:r>
                              <w:rPr>
                                <w:rFonts w:hint="default"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w:t>
                            </w:r>
                          </w:p>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综合服务项目</w:t>
                            </w:r>
                            <w:r>
                              <w:rPr>
                                <w:rFonts w:hint="eastAsia" w:ascii="微软雅黑" w:hAnsi="微软雅黑" w:eastAsia="微软雅黑"/>
                                <w:color w:val="C00000"/>
                                <w:sz w:val="48"/>
                                <w:szCs w:val="52"/>
                                <w:lang w:val="en-US" w:eastAsia="zh-Hans"/>
                                <w14:shadow w14:blurRad="38100" w14:dist="25400" w14:dir="5400000" w14:sx="100000" w14:sy="100000" w14:kx="0" w14:ky="0" w14:algn="ctr">
                                  <w14:srgbClr w14:val="6E747A">
                                    <w14:alpha w14:val="57000"/>
                                  </w14:srgbClr>
                                </w14:shadow>
                              </w:rPr>
                              <w:t>的方案</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top:184.45pt;height:110.6pt;width:598.05pt;mso-position-horizontal:right;mso-position-horizontal-relative:margin;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lYptR9cAAAAJ&#10;AQAADwAAAGRycy9kb3ducmV2LnhtbE2PMU/DMBSEdyT+g/WQ2KhtUKMmxKkQFQsDEi0SjG7sxBH2&#10;s2W7afj3uBOMpzvdfdduF2fJrGOaPArgKwZEY+/VhKOAj8PL3QZIyhKVtB61gB+dYNtdX7WyUf6M&#10;73re55GUEkyNFGByDg2lqTfaybTyQWPxBh+dzEXGkaooz6XcWXrPWEWdnLAsGBn0s9H99/7kBHw6&#10;M6ldfPsalJ13r8PTOiwxCHF7w9kjkKyX/BeGC35Bh64wHf0JVSJWQDmSBTxUmxrIxeZ1xYEcBaxr&#10;xoF2Lf3/oPsFUEsDBBQAAAAIAIdO4kBvvtvSHQIAAAUEAAAOAAAAZHJzL2Uyb0RvYy54bWytU82O&#10;0zAQviPxDpbvNG1o9ydqulq6KkJafqSFB3Acp7GwPcZ2m5QHYN+AExfuPNc+B2MnW6rlhvDB8nhm&#10;Ps9883l51WtF9sJ5Caaks8mUEmE41NJsS/rp4+bFBSU+MFMzBUaU9CA8vVo9f7bsbCFyaEHVwhEE&#10;Mb7obEnbEGyRZZ63QjM/ASsMOhtwmgU03TarHesQXassn07Psg5cbR1w4T3e3gxOukr4TSN4eN80&#10;XgSiSoq1hbS7tFdxz1ZLVmwds63kYxnsH6rQTBp89Ah1wwIjOyf/gtKSO/DQhAkHnUHTSC5SD9jN&#10;bPqkm7uWWZF6QXK8PdLk/x8sf7f/4IisS5pTYpjGET18v3/48evh5zeSR3o66wuMurMYF/pX0OOY&#10;U6ve3gL/7ImBdcvMVlw7B10rWI3lzWJmdpI64PgIUnVvocZ32C5AAuobpyN3yAZBdBzT4Tga0QfC&#10;8fJ8cbnIXy4o4eibzafzszwNL2PFY7p1PrwWoEk8lNTh7BM829/6EMthxWNIfM2DkvVGKpUMt63W&#10;ypE9Q51s0kodPAlThnQlxUoWCdlAzE8S0jKgjpXUJb2YxjWmKzPyEFsfSAh91Y+8VlAfkBEHgy7x&#10;H+GhBfeVkg41WVL/ZcecoES9Mcjq5Ww+jyJOxnxxjhQQd+qpTj3McIQqaaBkOK5DEn7q114j+xuZ&#10;eIljGioZa0WtJbrGfxHFfGqnqD+/d/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YptR9cAAAAJ&#10;AQAADwAAAAAAAAABACAAAAAiAAAAZHJzL2Rvd25yZXYueG1sUEsBAhQAFAAAAAgAh07iQG++29Id&#10;AgAABQQAAA4AAAAAAAAAAQAgAAAAJgEAAGRycy9lMm9Eb2MueG1sUEsFBgAAAAAGAAYAWQEAALUF&#10;AAAAAA==&#10;">
                <v:fill on="t" focussize="0,0"/>
                <v:stroke on="f" miterlimit="8" joinstyle="miter"/>
                <v:imagedata o:title=""/>
                <o:lock v:ext="edit" aspectratio="f"/>
                <v:textbox style="mso-fit-shape-to-text:t;">
                  <w:txbxContent>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default"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2022</w:t>
                      </w:r>
                      <w:r>
                        <w:rPr>
                          <w:rFonts w:hint="eastAsia" w:ascii="微软雅黑" w:hAnsi="微软雅黑" w:eastAsia="微软雅黑"/>
                          <w:color w:val="C00000"/>
                          <w:sz w:val="48"/>
                          <w:szCs w:val="52"/>
                          <w:lang w:val="en-US" w:eastAsia="zh-Hans"/>
                          <w14:shadow w14:blurRad="38100" w14:dist="25400" w14:dir="5400000" w14:sx="100000" w14:sy="100000" w14:kx="0" w14:ky="0" w14:algn="ctr">
                            <w14:srgbClr w14:val="6E747A">
                              <w14:alpha w14:val="57000"/>
                            </w14:srgbClr>
                          </w14:shadow>
                        </w:rPr>
                        <w:t>年职业院校教师教学能力大赛</w:t>
                      </w:r>
                      <w:r>
                        <w:rPr>
                          <w:rFonts w:hint="default"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w:t>
                      </w:r>
                      <w:r>
                        <w:rPr>
                          <w:rFonts w:hint="eastAsia" w:ascii="微软雅黑" w:hAnsi="微软雅黑" w:eastAsia="微软雅黑"/>
                          <w:color w:val="C00000"/>
                          <w:sz w:val="48"/>
                          <w:szCs w:val="52"/>
                          <w:lang w:val="en-US" w:eastAsia="zh-Hans"/>
                          <w14:shadow w14:blurRad="38100" w14:dist="25400" w14:dir="5400000" w14:sx="100000" w14:sy="100000" w14:kx="0" w14:ky="0" w14:algn="ctr">
                            <w14:srgbClr w14:val="6E747A">
                              <w14:alpha w14:val="57000"/>
                            </w14:srgbClr>
                          </w14:shadow>
                        </w:rPr>
                        <w:t>国赛</w:t>
                      </w:r>
                      <w:r>
                        <w:rPr>
                          <w:rFonts w:hint="default"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w:t>
                      </w:r>
                    </w:p>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综合服务项目</w:t>
                      </w:r>
                      <w:r>
                        <w:rPr>
                          <w:rFonts w:hint="eastAsia" w:ascii="微软雅黑" w:hAnsi="微软雅黑" w:eastAsia="微软雅黑"/>
                          <w:color w:val="C00000"/>
                          <w:sz w:val="48"/>
                          <w:szCs w:val="52"/>
                          <w:lang w:val="en-US" w:eastAsia="zh-Hans"/>
                          <w14:shadow w14:blurRad="38100" w14:dist="25400" w14:dir="5400000" w14:sx="100000" w14:sy="100000" w14:kx="0" w14:ky="0" w14:algn="ctr">
                            <w14:srgbClr w14:val="6E747A">
                              <w14:alpha w14:val="57000"/>
                            </w14:srgbClr>
                          </w14:shadow>
                        </w:rPr>
                        <w:t>的方案</w:t>
                      </w:r>
                    </w:p>
                  </w:txbxContent>
                </v:textbox>
                <w10:wrap type="square"/>
              </v:shape>
            </w:pict>
          </mc:Fallback>
        </mc:AlternateContent>
      </w:r>
      <w:sdt>
        <w:sdtPr>
          <w:id w:val="903954706"/>
        </w:sdtPr>
        <w:sdtContent>
          <w:r>
            <w:br w:type="page"/>
          </w:r>
        </w:sdtContent>
      </w:sdt>
    </w:p>
    <w:p>
      <w:pPr>
        <w:pStyle w:val="3"/>
      </w:pPr>
      <w:r>
        <w:rPr>
          <w:rFonts w:hint="eastAsia"/>
        </w:rPr>
        <w:t>一、项目概述</w:t>
      </w:r>
    </w:p>
    <w:p>
      <w:pPr>
        <w:pStyle w:val="16"/>
        <w:ind w:firstLine="480"/>
        <w:rPr>
          <w:rFonts w:hint="eastAsia" w:ascii="宋体" w:hAnsi="宋体" w:eastAsia="宋体"/>
          <w:lang w:val="en-US" w:eastAsia="zh-Hans"/>
        </w:rPr>
      </w:pPr>
      <w:r>
        <w:rPr>
          <w:rFonts w:hint="eastAsia" w:ascii="宋体" w:hAnsi="宋体" w:eastAsia="宋体"/>
          <w:lang w:val="en-US" w:eastAsia="zh-Hans"/>
        </w:rPr>
        <w:t>本项目为2022年职业院校教师教学能力大赛（国赛）</w:t>
      </w:r>
      <w:r>
        <w:rPr>
          <w:rFonts w:hint="eastAsia" w:ascii="宋体" w:hAnsi="宋体" w:eastAsia="宋体"/>
          <w:lang w:val="en-US" w:eastAsia="zh-CN"/>
        </w:rPr>
        <w:t>参赛作品《</w:t>
      </w:r>
      <w:r>
        <w:rPr>
          <w:rFonts w:hint="default" w:ascii="宋体" w:hAnsi="宋体" w:eastAsia="宋体"/>
          <w:lang w:val="en-US" w:eastAsia="zh-CN"/>
        </w:rPr>
        <w:t>球类移动技术</w:t>
      </w:r>
      <w:r>
        <w:rPr>
          <w:rFonts w:hint="eastAsia" w:ascii="宋体" w:hAnsi="宋体" w:eastAsia="宋体"/>
          <w:lang w:val="en-US" w:eastAsia="zh-CN"/>
        </w:rPr>
        <w:t>》</w:t>
      </w:r>
      <w:r>
        <w:rPr>
          <w:rFonts w:hint="eastAsia" w:ascii="宋体" w:hAnsi="宋体" w:eastAsia="宋体"/>
          <w:lang w:val="en-US" w:eastAsia="zh-Hans"/>
        </w:rPr>
        <w:t>综合服务项目，需对参赛作品的技术服务进行采购，内容包含</w:t>
      </w:r>
      <w:r>
        <w:rPr>
          <w:rFonts w:hint="eastAsia" w:ascii="宋体" w:hAnsi="宋体" w:eastAsia="宋体"/>
          <w:lang w:val="en-US" w:eastAsia="zh-CN"/>
        </w:rPr>
        <w:t>给予作品培训并提出指导服务，确定培训计划，邀请专家线上培训和线下一对一现场培训两种情况并提供相关指导服务，提供国赛一等奖的教案，实施报告等素材不少于5套；</w:t>
      </w:r>
      <w:r>
        <w:rPr>
          <w:rFonts w:hint="eastAsia" w:ascii="宋体" w:hAnsi="宋体" w:eastAsia="宋体"/>
          <w:lang w:val="en-US" w:eastAsia="zh-Hans"/>
        </w:rPr>
        <w:t>教学内容优化</w:t>
      </w:r>
      <w:r>
        <w:rPr>
          <w:rFonts w:hint="default" w:ascii="宋体" w:hAnsi="宋体" w:eastAsia="宋体"/>
          <w:lang w:val="en-US" w:eastAsia="zh-Hans"/>
        </w:rPr>
        <w:t>，</w:t>
      </w:r>
      <w:r>
        <w:rPr>
          <w:rFonts w:hint="eastAsia" w:ascii="宋体" w:hAnsi="宋体" w:eastAsia="宋体"/>
          <w:lang w:val="en-US" w:eastAsia="zh-Hans"/>
        </w:rPr>
        <w:t>教学设计创新</w:t>
      </w:r>
      <w:r>
        <w:rPr>
          <w:rFonts w:hint="default" w:ascii="宋体" w:hAnsi="宋体" w:eastAsia="宋体"/>
          <w:lang w:val="en-US" w:eastAsia="zh-Hans"/>
        </w:rPr>
        <w:t>，</w:t>
      </w:r>
      <w:r>
        <w:rPr>
          <w:rFonts w:hint="eastAsia" w:ascii="宋体" w:hAnsi="宋体" w:eastAsia="宋体"/>
          <w:lang w:val="en-US" w:eastAsia="zh-Hans"/>
        </w:rPr>
        <w:t>课堂实录的前期指导彩排、课堂教学素材制作、信息化平台资源技术支持、视频拍摄制作、参赛文件精修包装等综合服务。</w:t>
      </w:r>
    </w:p>
    <w:tbl>
      <w:tblPr>
        <w:tblStyle w:val="8"/>
        <w:tblW w:w="712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555"/>
        <w:gridCol w:w="1433"/>
        <w:gridCol w:w="1241"/>
        <w:gridCol w:w="1279"/>
        <w:gridCol w:w="1279"/>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892" w:hRule="atLeast"/>
          <w:tblCellSpacing w:w="15" w:type="dxa"/>
        </w:trPr>
        <w:tc>
          <w:tcPr>
            <w:tcW w:w="510" w:type="dxa"/>
            <w:tcBorders>
              <w:top w:val="single" w:color="auto" w:sz="6" w:space="0"/>
              <w:left w:val="single" w:color="auto" w:sz="6" w:space="0"/>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b/>
                <w:kern w:val="0"/>
                <w:sz w:val="24"/>
                <w:lang w:bidi="ar"/>
              </w:rPr>
              <w:t>序号</w:t>
            </w:r>
          </w:p>
        </w:tc>
        <w:tc>
          <w:tcPr>
            <w:tcW w:w="1403"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b/>
                <w:kern w:val="0"/>
                <w:sz w:val="24"/>
                <w:lang w:bidi="ar"/>
              </w:rPr>
              <w:t>项目名称</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kern w:val="0"/>
              </w:rPr>
            </w:pPr>
            <w:r>
              <w:rPr>
                <w:rFonts w:hint="eastAsia" w:ascii="宋体" w:hAnsi="宋体" w:eastAsia="宋体" w:cs="宋体"/>
                <w:b/>
                <w:kern w:val="0"/>
                <w:sz w:val="24"/>
                <w:lang w:bidi="ar"/>
              </w:rPr>
              <w:t>项目内容</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kern w:val="0"/>
              </w:rPr>
            </w:pPr>
            <w:r>
              <w:rPr>
                <w:rFonts w:hint="eastAsia" w:ascii="宋体" w:hAnsi="宋体" w:eastAsia="宋体" w:cs="宋体"/>
                <w:b/>
                <w:kern w:val="0"/>
                <w:sz w:val="24"/>
                <w:lang w:bidi="ar"/>
              </w:rPr>
              <w:t>数量</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kern w:val="0"/>
              </w:rPr>
            </w:pPr>
            <w:r>
              <w:rPr>
                <w:rFonts w:hint="eastAsia" w:ascii="宋体" w:hAnsi="宋体" w:eastAsia="宋体" w:cs="宋体"/>
                <w:b/>
                <w:kern w:val="0"/>
                <w:sz w:val="24"/>
                <w:lang w:bidi="ar"/>
              </w:rPr>
              <w:t>单位</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default" w:ascii="宋体" w:hAnsi="宋体" w:eastAsia="宋体" w:cs="宋体"/>
                <w:kern w:val="0"/>
                <w:lang w:val="en-US" w:eastAsia="zh-CN"/>
              </w:rPr>
            </w:pPr>
            <w:r>
              <w:rPr>
                <w:rFonts w:hint="eastAsia" w:ascii="宋体" w:hAnsi="宋体" w:eastAsia="宋体" w:cs="宋体"/>
                <w:b/>
                <w:kern w:val="0"/>
                <w:sz w:val="24"/>
                <w:lang w:val="en-US" w:eastAsia="zh-CN" w:bidi="ar"/>
              </w:rPr>
              <w:t>控制价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1682" w:hRule="atLeast"/>
          <w:tblCellSpacing w:w="15" w:type="dxa"/>
        </w:trPr>
        <w:tc>
          <w:tcPr>
            <w:tcW w:w="510" w:type="dxa"/>
            <w:tcBorders>
              <w:top w:val="single" w:color="auto" w:sz="6" w:space="0"/>
              <w:left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kern w:val="0"/>
                <w:sz w:val="24"/>
                <w:lang w:bidi="ar"/>
              </w:rPr>
              <w:t>1</w:t>
            </w:r>
          </w:p>
        </w:tc>
        <w:tc>
          <w:tcPr>
            <w:tcW w:w="1403" w:type="dxa"/>
            <w:tcBorders>
              <w:top w:val="single" w:color="auto" w:sz="6" w:space="0"/>
              <w:left w:val="nil"/>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2022年职业院校教师教学能力大赛（国赛）综合服务项目</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widowControl/>
              <w:spacing w:before="156" w:beforeLines="50" w:after="156" w:afterLines="50"/>
              <w:jc w:val="center"/>
              <w:rPr>
                <w:rFonts w:hint="eastAsia" w:ascii="宋体" w:hAnsi="宋体" w:eastAsia="宋体"/>
                <w:lang w:val="en-US" w:eastAsia="zh-Hans"/>
              </w:rPr>
            </w:pPr>
          </w:p>
          <w:p>
            <w:pPr>
              <w:widowControl/>
              <w:spacing w:before="156" w:beforeLines="50" w:after="156" w:afterLines="50"/>
              <w:jc w:val="center"/>
              <w:rPr>
                <w:rFonts w:hint="eastAsia" w:ascii="宋体" w:hAnsi="宋体" w:eastAsia="宋体"/>
                <w:lang w:val="en-US" w:eastAsia="zh-Hans"/>
              </w:rPr>
            </w:pPr>
            <w:r>
              <w:rPr>
                <w:rFonts w:hint="default" w:ascii="宋体" w:hAnsi="宋体" w:eastAsia="宋体"/>
                <w:lang w:val="en-US" w:eastAsia="zh-CN"/>
              </w:rPr>
              <w:t>球类移动技术</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1</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项</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cs="宋体"/>
                <w:lang w:val="en-US" w:eastAsia="zh-Hans"/>
              </w:rPr>
              <w:t>≤</w:t>
            </w:r>
            <w:r>
              <w:rPr>
                <w:rFonts w:hint="eastAsia" w:ascii="宋体" w:hAnsi="宋体" w:eastAsia="宋体"/>
                <w:lang w:val="en-US" w:eastAsia="zh-Hans"/>
              </w:rPr>
              <w:t>80000</w:t>
            </w:r>
          </w:p>
        </w:tc>
      </w:tr>
    </w:tbl>
    <w:p>
      <w:pPr>
        <w:pStyle w:val="16"/>
        <w:ind w:firstLine="480"/>
        <w:rPr>
          <w:rFonts w:ascii="宋体" w:hAnsi="宋体" w:eastAsia="宋体"/>
        </w:rPr>
      </w:pPr>
    </w:p>
    <w:p>
      <w:pPr>
        <w:pStyle w:val="3"/>
        <w:numPr>
          <w:ilvl w:val="0"/>
          <w:numId w:val="1"/>
        </w:numPr>
      </w:pPr>
      <w:r>
        <w:rPr>
          <w:rFonts w:hint="eastAsia"/>
        </w:rPr>
        <w:t>建设内容</w:t>
      </w:r>
      <w:r>
        <w:rPr>
          <w:rFonts w:hint="eastAsia"/>
          <w:lang w:eastAsia="zh-Hans"/>
        </w:rPr>
        <w:t>以及服务流程</w:t>
      </w:r>
    </w:p>
    <w:p>
      <w:pPr>
        <w:pStyle w:val="16"/>
        <w:numPr>
          <w:ilvl w:val="0"/>
          <w:numId w:val="2"/>
        </w:numPr>
        <w:rPr>
          <w:rFonts w:hint="eastAsia" w:ascii="宋体" w:hAnsi="宋体" w:eastAsia="宋体"/>
          <w:b/>
          <w:bCs/>
          <w:color w:val="auto"/>
          <w:lang w:eastAsia="zh-Hans"/>
        </w:rPr>
      </w:pPr>
      <w:r>
        <w:rPr>
          <w:rFonts w:hint="eastAsia" w:ascii="宋体" w:hAnsi="宋体" w:eastAsia="宋体"/>
          <w:b/>
          <w:bCs/>
          <w:color w:val="auto"/>
          <w:lang w:eastAsia="zh-Hans"/>
        </w:rPr>
        <w:t>建设内容</w:t>
      </w:r>
    </w:p>
    <w:tbl>
      <w:tblPr>
        <w:tblStyle w:val="8"/>
        <w:tblW w:w="8452" w:type="dxa"/>
        <w:tblInd w:w="0" w:type="dxa"/>
        <w:tblLayout w:type="fixed"/>
        <w:tblCellMar>
          <w:top w:w="15" w:type="dxa"/>
          <w:left w:w="15" w:type="dxa"/>
          <w:bottom w:w="15" w:type="dxa"/>
          <w:right w:w="15" w:type="dxa"/>
        </w:tblCellMar>
      </w:tblPr>
      <w:tblGrid>
        <w:gridCol w:w="791"/>
        <w:gridCol w:w="2149"/>
        <w:gridCol w:w="4560"/>
        <w:gridCol w:w="952"/>
      </w:tblGrid>
      <w:tr>
        <w:tblPrEx>
          <w:tblLayout w:type="fixed"/>
          <w:tblCellMar>
            <w:top w:w="15" w:type="dxa"/>
            <w:left w:w="15" w:type="dxa"/>
            <w:bottom w:w="15" w:type="dxa"/>
            <w:right w:w="15" w:type="dxa"/>
          </w:tblCellMar>
        </w:tblPrEx>
        <w:trPr>
          <w:trHeight w:val="28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before="156" w:beforeLines="50" w:after="156" w:afterLines="50"/>
              <w:jc w:val="center"/>
              <w:rPr>
                <w:rFonts w:ascii="宋体" w:hAnsi="宋体" w:eastAsia="宋体"/>
                <w:sz w:val="28"/>
                <w:szCs w:val="28"/>
              </w:rPr>
            </w:pPr>
            <w:r>
              <w:rPr>
                <w:rFonts w:ascii="宋体" w:hAnsi="宋体" w:eastAsia="宋体"/>
                <w:sz w:val="28"/>
                <w:szCs w:val="28"/>
              </w:rPr>
              <w:t>序号</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before="156" w:beforeLines="50" w:after="156" w:afterLines="50"/>
              <w:jc w:val="center"/>
              <w:rPr>
                <w:rFonts w:ascii="宋体" w:hAnsi="宋体" w:eastAsia="宋体"/>
                <w:sz w:val="28"/>
                <w:szCs w:val="28"/>
              </w:rPr>
            </w:pPr>
            <w:r>
              <w:rPr>
                <w:rFonts w:ascii="宋体" w:hAnsi="宋体" w:eastAsia="宋体"/>
                <w:sz w:val="28"/>
                <w:szCs w:val="28"/>
              </w:rPr>
              <w:t>服务项目</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before="156" w:beforeLines="50" w:after="156" w:afterLines="50"/>
              <w:jc w:val="center"/>
              <w:rPr>
                <w:rFonts w:ascii="宋体" w:hAnsi="宋体" w:eastAsia="宋体"/>
                <w:sz w:val="28"/>
                <w:szCs w:val="28"/>
              </w:rPr>
            </w:pPr>
            <w:r>
              <w:rPr>
                <w:rFonts w:ascii="宋体" w:hAnsi="宋体" w:eastAsia="宋体"/>
                <w:sz w:val="28"/>
                <w:szCs w:val="28"/>
              </w:rPr>
              <w:t>服务内容</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before="156" w:beforeLines="50" w:after="156" w:afterLines="50"/>
              <w:jc w:val="center"/>
              <w:rPr>
                <w:rFonts w:ascii="宋体" w:hAnsi="宋体" w:eastAsia="宋体"/>
                <w:sz w:val="28"/>
                <w:szCs w:val="28"/>
              </w:rPr>
            </w:pPr>
            <w:r>
              <w:rPr>
                <w:rFonts w:ascii="宋体" w:hAnsi="宋体" w:eastAsia="宋体"/>
                <w:sz w:val="28"/>
                <w:szCs w:val="28"/>
              </w:rPr>
              <w:t>备注</w:t>
            </w:r>
          </w:p>
        </w:tc>
      </w:tr>
      <w:tr>
        <w:tblPrEx>
          <w:tblLayout w:type="fixed"/>
          <w:tblCellMar>
            <w:top w:w="15" w:type="dxa"/>
            <w:left w:w="15" w:type="dxa"/>
            <w:bottom w:w="15" w:type="dxa"/>
            <w:right w:w="15" w:type="dxa"/>
          </w:tblCellMar>
        </w:tblPrEx>
        <w:trPr>
          <w:trHeight w:val="115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1</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培训服务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为参赛教师提供专业的赛前提供三次线上培训服务关于参赛项目线上提出的问题，需给予准确答复：第一次邀请专家针对参赛选手视频片段进行初步沟通，同时对于文档材料做初步交流，并提供相应模板和参考素材；第二次邀请专家针对视频片段内容拍摄样片进行指导，优化调整视频最终内容；第三次邀请专家针对参赛作品材料进行指导，包括实施报告、教案人培、课标等内容提供优化建议。（主要内容是赛项的解读和参赛注意事项分析，并通过对往届作品点评，帮助参赛教师充分理解参赛的要求和要点）</w:t>
            </w:r>
          </w:p>
          <w:p>
            <w:pPr>
              <w:widowControl/>
              <w:spacing w:before="156" w:beforeLines="50" w:after="156" w:afterLines="50"/>
              <w:jc w:val="left"/>
              <w:rPr>
                <w:rFonts w:ascii="宋体" w:hAnsi="宋体" w:eastAsia="宋体"/>
              </w:rPr>
            </w:pPr>
            <w:r>
              <w:rPr>
                <w:rFonts w:hint="eastAsia" w:ascii="宋体" w:hAnsi="宋体" w:eastAsia="宋体"/>
                <w:lang w:val="en-US" w:eastAsia="zh-CN"/>
              </w:rPr>
              <w:t xml:space="preserve">    </w:t>
            </w:r>
            <w:r>
              <w:rPr>
                <w:rFonts w:hint="eastAsia" w:ascii="宋体" w:hAnsi="宋体" w:eastAsia="宋体"/>
              </w:rPr>
              <w:t>安排专家组织五次现场一对一线下培训：第一次邀请专家线上有针对性的培训，针对参赛内容重新重构后的内容进行进一步的指导，明确参赛内容框架基本设计；第二次线下针对参赛作品视频拍摄脚本进一步进行沟通，明确整体设计，参观了解拍摄场地状况，同时针对拍摄的注意事项进行培训，并且进行样片试拍。第三次线下主要教学视频正式拍摄现场指导工作，现场提供进一步的优化意见，确保最终拍摄质量；第四次培训主要针对实施报告、教案、人才培养方案、课程标准等再一次进行培训指导，针对细节问题进一步沟通培训，明确最后文档内容；第五次计划主要是针对决赛环节，包括实施报告如何介绍、无答辩环节注意要领以及限时限点两段视频片段拍摄设计指导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hint="default" w:ascii="宋体" w:hAnsi="宋体" w:eastAsia="宋体"/>
                <w:lang w:val="en-US" w:eastAsia="zh-CN"/>
              </w:rPr>
            </w:pPr>
          </w:p>
        </w:tc>
      </w:tr>
      <w:tr>
        <w:tblPrEx>
          <w:tblLayout w:type="fixed"/>
          <w:tblCellMar>
            <w:top w:w="15" w:type="dxa"/>
            <w:left w:w="15" w:type="dxa"/>
            <w:bottom w:w="15" w:type="dxa"/>
            <w:right w:w="15" w:type="dxa"/>
          </w:tblCellMar>
        </w:tblPrEx>
        <w:trPr>
          <w:trHeight w:val="43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2</w:t>
            </w:r>
          </w:p>
        </w:tc>
        <w:tc>
          <w:tcPr>
            <w:tcW w:w="214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各项材料服务</w:t>
            </w:r>
          </w:p>
        </w:tc>
        <w:tc>
          <w:tcPr>
            <w:tcW w:w="45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56" w:beforeLines="50" w:after="156" w:afterLines="50"/>
              <w:jc w:val="left"/>
              <w:rPr>
                <w:rFonts w:hint="eastAsia" w:ascii="宋体" w:hAnsi="宋体" w:eastAsia="宋体"/>
                <w:lang w:eastAsia="zh-CN"/>
              </w:rPr>
            </w:pPr>
            <w:r>
              <w:rPr>
                <w:rFonts w:hint="eastAsia" w:ascii="宋体" w:hAnsi="宋体" w:eastAsia="宋体"/>
              </w:rPr>
              <w:t>包含场地美化布置，</w:t>
            </w:r>
            <w:r>
              <w:rPr>
                <w:rFonts w:hint="eastAsia" w:ascii="宋体" w:hAnsi="宋体" w:eastAsia="宋体"/>
                <w:lang w:val="en-US" w:eastAsia="zh-CN"/>
              </w:rPr>
              <w:t>师生工作</w:t>
            </w:r>
            <w:r>
              <w:rPr>
                <w:rFonts w:hint="eastAsia" w:ascii="宋体" w:hAnsi="宋体" w:eastAsia="宋体"/>
              </w:rPr>
              <w:t>餐费</w:t>
            </w:r>
            <w:r>
              <w:rPr>
                <w:rFonts w:hint="eastAsia" w:ascii="宋体" w:hAnsi="宋体" w:eastAsia="宋体"/>
                <w:lang w:eastAsia="zh-CN"/>
              </w:rPr>
              <w:t>、</w:t>
            </w:r>
            <w:r>
              <w:rPr>
                <w:rFonts w:hint="eastAsia" w:ascii="宋体" w:hAnsi="宋体" w:eastAsia="宋体"/>
                <w:lang w:val="en-US" w:eastAsia="zh-CN"/>
              </w:rPr>
              <w:t>交通费</w:t>
            </w:r>
            <w:r>
              <w:rPr>
                <w:rFonts w:hint="eastAsia" w:ascii="宋体" w:hAnsi="宋体" w:eastAsia="宋体"/>
              </w:rPr>
              <w:t>等内容</w:t>
            </w:r>
            <w:r>
              <w:rPr>
                <w:rFonts w:hint="eastAsia" w:ascii="宋体" w:hAnsi="宋体" w:eastAsia="宋体"/>
                <w:lang w:eastAsia="zh-CN"/>
              </w:rPr>
              <w:t>、</w:t>
            </w:r>
            <w:r>
              <w:rPr>
                <w:rFonts w:hint="eastAsia" w:ascii="宋体" w:hAnsi="宋体" w:eastAsia="宋体"/>
                <w:lang w:val="en-US" w:eastAsia="zh-Hans"/>
              </w:rPr>
              <w:t>根据比赛要求需配置与作品风格相符的服装</w:t>
            </w:r>
            <w:r>
              <w:rPr>
                <w:rFonts w:hint="default" w:ascii="宋体" w:hAnsi="宋体" w:eastAsia="宋体"/>
                <w:lang w:eastAsia="zh-Hans"/>
              </w:rPr>
              <w:t>，</w:t>
            </w:r>
            <w:r>
              <w:rPr>
                <w:rFonts w:hint="eastAsia" w:ascii="宋体" w:hAnsi="宋体" w:eastAsia="宋体"/>
                <w:lang w:val="en-US" w:eastAsia="zh-Hans"/>
              </w:rPr>
              <w:t>数量为</w:t>
            </w:r>
            <w:r>
              <w:rPr>
                <w:rFonts w:hint="default" w:ascii="宋体" w:hAnsi="宋体" w:eastAsia="宋体"/>
                <w:lang w:eastAsia="zh-Hans"/>
              </w:rPr>
              <w:t>：</w:t>
            </w:r>
            <w:r>
              <w:rPr>
                <w:rFonts w:hint="eastAsia" w:ascii="宋体" w:hAnsi="宋体" w:eastAsia="宋体"/>
                <w:lang w:val="en-US" w:eastAsia="zh-Hans"/>
              </w:rPr>
              <w:t>学生</w:t>
            </w:r>
            <w:r>
              <w:rPr>
                <w:rFonts w:hint="eastAsia" w:ascii="宋体" w:hAnsi="宋体" w:eastAsia="宋体"/>
                <w:lang w:val="en-US" w:eastAsia="zh-CN"/>
              </w:rPr>
              <w:t>30</w:t>
            </w:r>
            <w:r>
              <w:rPr>
                <w:rFonts w:hint="eastAsia" w:ascii="宋体" w:hAnsi="宋体" w:eastAsia="宋体"/>
                <w:lang w:val="en-US" w:eastAsia="zh-Hans"/>
              </w:rPr>
              <w:t>套</w:t>
            </w:r>
            <w:r>
              <w:rPr>
                <w:rFonts w:hint="default" w:ascii="宋体" w:hAnsi="宋体" w:eastAsia="宋体"/>
                <w:lang w:eastAsia="zh-Hans"/>
              </w:rPr>
              <w:t>，</w:t>
            </w:r>
            <w:r>
              <w:rPr>
                <w:rFonts w:hint="eastAsia" w:ascii="宋体" w:hAnsi="宋体" w:eastAsia="宋体"/>
                <w:lang w:val="en-US" w:eastAsia="zh-Hans"/>
              </w:rPr>
              <w:t>教师</w:t>
            </w:r>
            <w:r>
              <w:rPr>
                <w:rFonts w:hint="default" w:ascii="宋体" w:hAnsi="宋体" w:eastAsia="宋体"/>
                <w:lang w:eastAsia="zh-Hans"/>
              </w:rPr>
              <w:t>4</w:t>
            </w:r>
            <w:r>
              <w:rPr>
                <w:rFonts w:hint="eastAsia" w:ascii="宋体" w:hAnsi="宋体" w:eastAsia="宋体"/>
                <w:lang w:val="en-US" w:eastAsia="zh-Hans"/>
              </w:rPr>
              <w:t>套</w:t>
            </w:r>
            <w:r>
              <w:rPr>
                <w:rFonts w:hint="default" w:ascii="宋体" w:hAnsi="宋体" w:eastAsia="宋体"/>
                <w:lang w:eastAsia="zh-Hans"/>
              </w:rPr>
              <w:t>。</w:t>
            </w:r>
          </w:p>
        </w:tc>
        <w:tc>
          <w:tcPr>
            <w:tcW w:w="9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56" w:beforeLines="50" w:after="156" w:afterLines="50"/>
              <w:jc w:val="center"/>
              <w:rPr>
                <w:rFonts w:hint="default" w:ascii="宋体" w:hAnsi="宋体" w:eastAsia="宋体"/>
                <w:lang w:val="en-US" w:eastAsia="zh-CN"/>
              </w:rPr>
            </w:pPr>
          </w:p>
        </w:tc>
      </w:tr>
      <w:tr>
        <w:tblPrEx>
          <w:tblLayout w:type="fixed"/>
          <w:tblCellMar>
            <w:top w:w="15" w:type="dxa"/>
            <w:left w:w="15" w:type="dxa"/>
            <w:bottom w:w="15" w:type="dxa"/>
            <w:right w:w="15" w:type="dxa"/>
          </w:tblCellMar>
        </w:tblPrEx>
        <w:trPr>
          <w:trHeight w:val="435" w:hRule="atLeast"/>
        </w:trPr>
        <w:tc>
          <w:tcPr>
            <w:tcW w:w="79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3</w:t>
            </w:r>
          </w:p>
        </w:tc>
        <w:tc>
          <w:tcPr>
            <w:tcW w:w="214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课件专业美化</w:t>
            </w:r>
          </w:p>
        </w:tc>
        <w:tc>
          <w:tcPr>
            <w:tcW w:w="45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before="156" w:beforeLines="50" w:after="156" w:afterLines="50"/>
              <w:jc w:val="center"/>
              <w:rPr>
                <w:rFonts w:hint="eastAsia" w:ascii="宋体" w:hAnsi="宋体" w:eastAsia="宋体"/>
                <w:lang w:eastAsia="zh-CN"/>
              </w:rPr>
            </w:pPr>
            <w:r>
              <w:rPr>
                <w:rFonts w:ascii="宋体" w:hAnsi="宋体" w:eastAsia="宋体"/>
              </w:rPr>
              <w:t>包括参赛过程中使用的说课课件（一般为PPT）、教案、说课稿等</w:t>
            </w:r>
            <w:r>
              <w:rPr>
                <w:rFonts w:hint="eastAsia" w:ascii="宋体" w:hAnsi="宋体" w:eastAsia="宋体"/>
                <w:lang w:eastAsia="zh-CN"/>
              </w:rPr>
              <w:t>，需要一对一专业美化，文档材料的包装、设计、制作及美化以达到参赛的标准</w:t>
            </w:r>
          </w:p>
        </w:tc>
        <w:tc>
          <w:tcPr>
            <w:tcW w:w="95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before="156" w:beforeLines="50" w:after="156" w:afterLines="50"/>
              <w:jc w:val="center"/>
              <w:rPr>
                <w:rFonts w:hint="default" w:ascii="宋体" w:hAnsi="宋体" w:eastAsia="宋体"/>
                <w:lang w:val="en-US" w:eastAsia="zh-CN"/>
              </w:rPr>
            </w:pPr>
          </w:p>
        </w:tc>
      </w:tr>
      <w:tr>
        <w:tblPrEx>
          <w:tblLayout w:type="fixed"/>
          <w:tblCellMar>
            <w:top w:w="15" w:type="dxa"/>
            <w:left w:w="15" w:type="dxa"/>
            <w:bottom w:w="15" w:type="dxa"/>
            <w:right w:w="15" w:type="dxa"/>
          </w:tblCellMar>
        </w:tblPrEx>
        <w:trPr>
          <w:trHeight w:val="1305" w:hRule="atLeast"/>
        </w:trPr>
        <w:tc>
          <w:tcPr>
            <w:tcW w:w="79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4</w:t>
            </w:r>
          </w:p>
        </w:tc>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课堂教学赛项视频拍摄制作（</w:t>
            </w:r>
            <w:r>
              <w:rPr>
                <w:rFonts w:hint="eastAsia" w:ascii="宋体" w:hAnsi="宋体" w:eastAsia="宋体"/>
                <w:lang w:val="en-US" w:eastAsia="zh-Hans"/>
              </w:rPr>
              <w:t>若有决赛</w:t>
            </w:r>
            <w:r>
              <w:rPr>
                <w:rFonts w:hint="default" w:ascii="宋体" w:hAnsi="宋体" w:eastAsia="宋体"/>
                <w:lang w:eastAsia="zh-Hans"/>
              </w:rPr>
              <w:t>，</w:t>
            </w:r>
            <w:r>
              <w:rPr>
                <w:rFonts w:hint="eastAsia" w:ascii="宋体" w:hAnsi="宋体" w:eastAsia="宋体"/>
                <w:lang w:val="en-US" w:eastAsia="zh-Hans"/>
              </w:rPr>
              <w:t>需包含在内</w:t>
            </w:r>
            <w:r>
              <w:rPr>
                <w:rFonts w:hint="default" w:ascii="宋体" w:hAnsi="宋体" w:eastAsia="宋体"/>
                <w:lang w:eastAsia="zh-Hans"/>
              </w:rPr>
              <w:t>）</w:t>
            </w:r>
          </w:p>
        </w:tc>
        <w:tc>
          <w:tcPr>
            <w:tcW w:w="4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jc w:val="left"/>
              <w:rPr>
                <w:rFonts w:ascii="宋体" w:hAnsi="宋体" w:eastAsia="宋体"/>
              </w:rPr>
            </w:pPr>
            <w:r>
              <w:rPr>
                <w:rFonts w:ascii="宋体" w:hAnsi="宋体" w:eastAsia="宋体"/>
              </w:rPr>
              <w:t>1、每个参赛作品录制1</w:t>
            </w:r>
            <w:r>
              <w:rPr>
                <w:rFonts w:hint="eastAsia" w:ascii="宋体" w:hAnsi="宋体" w:eastAsia="宋体"/>
                <w:lang w:val="en-US" w:eastAsia="zh-Hans"/>
              </w:rPr>
              <w:t>学时</w:t>
            </w:r>
            <w:r>
              <w:rPr>
                <w:rFonts w:hint="default" w:ascii="宋体" w:hAnsi="宋体" w:eastAsia="宋体"/>
                <w:lang w:eastAsia="zh-Hans"/>
              </w:rPr>
              <w:t>（40-50</w:t>
            </w:r>
            <w:r>
              <w:rPr>
                <w:rFonts w:hint="eastAsia" w:ascii="宋体" w:hAnsi="宋体" w:eastAsia="宋体"/>
                <w:lang w:val="en-US" w:eastAsia="zh-Hans"/>
              </w:rPr>
              <w:t>分钟</w:t>
            </w:r>
            <w:r>
              <w:rPr>
                <w:rFonts w:hint="default" w:ascii="宋体" w:hAnsi="宋体" w:eastAsia="宋体"/>
                <w:lang w:eastAsia="zh-Hans"/>
              </w:rPr>
              <w:t>）</w:t>
            </w:r>
            <w:r>
              <w:rPr>
                <w:rFonts w:hint="eastAsia" w:ascii="宋体" w:hAnsi="宋体" w:eastAsia="宋体"/>
                <w:lang w:val="en-US" w:eastAsia="zh-Hans"/>
              </w:rPr>
              <w:t>课堂实录</w:t>
            </w:r>
            <w:r>
              <w:rPr>
                <w:rFonts w:hint="default" w:ascii="宋体" w:hAnsi="宋体" w:eastAsia="宋体"/>
                <w:lang w:eastAsia="zh-Hans"/>
              </w:rPr>
              <w:t>，</w:t>
            </w:r>
            <w:r>
              <w:rPr>
                <w:rFonts w:hint="eastAsia" w:ascii="宋体" w:hAnsi="宋体" w:eastAsia="宋体"/>
                <w:lang w:val="en-US" w:eastAsia="zh-Hans"/>
              </w:rPr>
              <w:t>以及</w:t>
            </w:r>
            <w:r>
              <w:rPr>
                <w:rFonts w:ascii="宋体" w:hAnsi="宋体" w:eastAsia="宋体"/>
              </w:rPr>
              <w:t>3段（8-15</w:t>
            </w:r>
            <w:r>
              <w:rPr>
                <w:rFonts w:hint="eastAsia" w:ascii="宋体" w:hAnsi="宋体" w:eastAsia="宋体"/>
                <w:lang w:val="en-US" w:eastAsia="zh-Hans"/>
              </w:rPr>
              <w:t>分钟</w:t>
            </w:r>
            <w:r>
              <w:rPr>
                <w:rFonts w:hint="default" w:ascii="宋体" w:hAnsi="宋体" w:eastAsia="宋体"/>
                <w:lang w:eastAsia="zh-Hans"/>
              </w:rPr>
              <w:t>）</w:t>
            </w:r>
            <w:r>
              <w:rPr>
                <w:rFonts w:ascii="宋体" w:hAnsi="宋体" w:eastAsia="宋体"/>
              </w:rPr>
              <w:t>课堂</w:t>
            </w:r>
            <w:r>
              <w:rPr>
                <w:rFonts w:hint="eastAsia" w:ascii="宋体" w:hAnsi="宋体" w:eastAsia="宋体"/>
                <w:lang w:val="en-US" w:eastAsia="zh-Hans"/>
              </w:rPr>
              <w:t>教学片段</w:t>
            </w:r>
            <w:r>
              <w:rPr>
                <w:rFonts w:ascii="宋体" w:hAnsi="宋体" w:eastAsia="宋体"/>
              </w:rPr>
              <w:t>视频；2、教学PPT的设计和美化，并根据教师意见对PPT中要求的视频、图片、FLASH动画等进行精美设计；3、同一作品教学片段允许当天重复录制直到满意完工。同组作品录制完成后，可根据专家意见进行修改和重新录制，</w:t>
            </w:r>
            <w:r>
              <w:rPr>
                <w:rFonts w:hint="eastAsia" w:ascii="宋体" w:hAnsi="宋体" w:eastAsia="宋体"/>
              </w:rPr>
              <w:t>至少保障三轮拍摄</w:t>
            </w:r>
            <w:r>
              <w:rPr>
                <w:rFonts w:hint="eastAsia" w:ascii="宋体" w:hAnsi="宋体" w:eastAsia="宋体"/>
                <w:lang w:eastAsia="zh-CN"/>
              </w:rPr>
              <w:t>，如若作品进入国赛决赛则需包含国赛决赛第一环节两段拍摄及后期处理工作</w:t>
            </w:r>
            <w:r>
              <w:rPr>
                <w:rFonts w:ascii="宋体" w:hAnsi="宋体" w:eastAsia="宋体"/>
              </w:rPr>
              <w:t>；4、视频技术要求符合“参赛视频技术要求”的参数要求；</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jc w:val="center"/>
              <w:rPr>
                <w:rFonts w:hint="default" w:ascii="宋体" w:hAnsi="宋体" w:eastAsia="宋体"/>
                <w:lang w:val="en-US" w:eastAsia="zh-CN"/>
              </w:rPr>
            </w:pPr>
          </w:p>
        </w:tc>
      </w:tr>
      <w:tr>
        <w:tblPrEx>
          <w:tblLayout w:type="fixed"/>
          <w:tblCellMar>
            <w:top w:w="15" w:type="dxa"/>
            <w:left w:w="15" w:type="dxa"/>
            <w:bottom w:w="15" w:type="dxa"/>
            <w:right w:w="15" w:type="dxa"/>
          </w:tblCellMar>
        </w:tblPrEx>
        <w:trPr>
          <w:trHeight w:val="1305" w:hRule="atLeast"/>
        </w:trPr>
        <w:tc>
          <w:tcPr>
            <w:tcW w:w="79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6</w:t>
            </w:r>
          </w:p>
        </w:tc>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智慧体育互动平台</w:t>
            </w:r>
          </w:p>
        </w:tc>
        <w:tc>
          <w:tcPr>
            <w:tcW w:w="4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jc w:val="left"/>
              <w:rPr>
                <w:rFonts w:hint="eastAsia" w:ascii="宋体" w:hAnsi="宋体" w:eastAsia="宋体"/>
                <w:lang w:val="en-US" w:eastAsia="zh-Hans"/>
              </w:rPr>
            </w:pPr>
            <w:r>
              <w:rPr>
                <w:rFonts w:ascii="宋体" w:hAnsi="宋体" w:eastAsia="宋体"/>
                <w:lang w:val="en-US" w:eastAsia="zh-CN"/>
              </w:rPr>
              <w:t>通过运动数据采集与应用、技战术分析、影像的纠错教学指导、专项技能测评为体育教育提供科学支撑</w:t>
            </w:r>
            <w:r>
              <w:rPr>
                <w:rFonts w:ascii="宋体" w:hAnsi="宋体" w:eastAsia="宋体"/>
                <w:lang w:eastAsia="zh-CN"/>
              </w:rPr>
              <w:t>。</w:t>
            </w:r>
            <w:r>
              <w:rPr>
                <w:rFonts w:hint="eastAsia" w:ascii="宋体" w:hAnsi="宋体" w:eastAsia="宋体"/>
                <w:lang w:val="en-US" w:eastAsia="zh-Hans"/>
              </w:rPr>
              <w:t>提供相关课程资源支撑</w:t>
            </w:r>
            <w:r>
              <w:rPr>
                <w:rFonts w:hint="default" w:ascii="宋体" w:hAnsi="宋体" w:eastAsia="宋体"/>
                <w:lang w:eastAsia="zh-Hans"/>
              </w:rPr>
              <w:t>。</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jc w:val="center"/>
              <w:rPr>
                <w:rFonts w:hint="default" w:ascii="宋体" w:hAnsi="宋体" w:eastAsia="宋体"/>
                <w:lang w:val="en-US" w:eastAsia="zh-CN"/>
              </w:rPr>
            </w:pPr>
          </w:p>
        </w:tc>
      </w:tr>
      <w:tr>
        <w:tblPrEx>
          <w:tblLayout w:type="fixed"/>
          <w:tblCellMar>
            <w:top w:w="15" w:type="dxa"/>
            <w:left w:w="15" w:type="dxa"/>
            <w:bottom w:w="15" w:type="dxa"/>
            <w:right w:w="15" w:type="dxa"/>
          </w:tblCellMar>
        </w:tblPrEx>
        <w:trPr>
          <w:trHeight w:val="1305" w:hRule="atLeast"/>
        </w:trPr>
        <w:tc>
          <w:tcPr>
            <w:tcW w:w="79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7</w:t>
            </w:r>
          </w:p>
        </w:tc>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jc w:val="center"/>
              <w:rPr>
                <w:rFonts w:hint="eastAsia" w:ascii="宋体" w:hAnsi="宋体" w:eastAsia="宋体"/>
                <w:lang w:val="en-US" w:eastAsia="zh-Hans"/>
              </w:rPr>
            </w:pPr>
            <w:r>
              <w:rPr>
                <w:rFonts w:ascii="宋体" w:hAnsi="宋体" w:eastAsia="宋体"/>
              </w:rPr>
              <w:t>决赛阶段的后续服务</w:t>
            </w:r>
          </w:p>
        </w:tc>
        <w:tc>
          <w:tcPr>
            <w:tcW w:w="4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jc w:val="left"/>
              <w:rPr>
                <w:rFonts w:hint="eastAsia" w:ascii="宋体" w:hAnsi="宋体" w:eastAsia="宋体"/>
                <w:lang w:val="en-US" w:eastAsia="zh-CN"/>
              </w:rPr>
            </w:pPr>
            <w:r>
              <w:rPr>
                <w:rFonts w:ascii="宋体" w:hAnsi="宋体" w:eastAsia="宋体"/>
              </w:rPr>
              <w:t>作品局部修改、模拟决赛答辩、教学平台技术支持，由中标方聘请专家对所有参赛作品并进行评价并开展现场答辩模拟演练实战，对教师现场备课、现场教学展示和答辩的技巧、注意事项等方面进行指导</w:t>
            </w:r>
            <w:r>
              <w:rPr>
                <w:rFonts w:hint="eastAsia" w:ascii="宋体" w:hAnsi="宋体" w:eastAsia="宋体"/>
                <w:lang w:eastAsia="zh-CN"/>
              </w:rPr>
              <w:t>。</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jc w:val="center"/>
              <w:rPr>
                <w:rFonts w:ascii="宋体" w:hAnsi="宋体" w:eastAsia="宋体"/>
              </w:rPr>
            </w:pPr>
          </w:p>
        </w:tc>
      </w:tr>
    </w:tbl>
    <w:p>
      <w:pPr>
        <w:pStyle w:val="16"/>
        <w:numPr>
          <w:ilvl w:val="0"/>
          <w:numId w:val="0"/>
        </w:numPr>
        <w:rPr>
          <w:rFonts w:ascii="宋体" w:hAnsi="宋体" w:eastAsia="宋体"/>
          <w:b/>
          <w:bCs/>
          <w:color w:val="auto"/>
          <w:lang w:eastAsia="zh-Hans"/>
        </w:rPr>
      </w:pPr>
    </w:p>
    <w:p>
      <w:pPr>
        <w:pStyle w:val="16"/>
        <w:numPr>
          <w:ilvl w:val="0"/>
          <w:numId w:val="0"/>
        </w:numPr>
        <w:rPr>
          <w:rFonts w:ascii="宋体" w:hAnsi="宋体" w:eastAsia="宋体"/>
          <w:b/>
          <w:bCs/>
          <w:color w:val="auto"/>
          <w:lang w:eastAsia="zh-Hans"/>
        </w:rPr>
      </w:pPr>
    </w:p>
    <w:p>
      <w:pPr>
        <w:pStyle w:val="16"/>
        <w:numPr>
          <w:ilvl w:val="0"/>
          <w:numId w:val="0"/>
        </w:numPr>
        <w:rPr>
          <w:rFonts w:ascii="宋体" w:hAnsi="宋体" w:eastAsia="宋体"/>
          <w:b/>
          <w:bCs/>
          <w:color w:val="auto"/>
          <w:lang w:eastAsia="zh-Hans"/>
        </w:rPr>
      </w:pPr>
    </w:p>
    <w:p>
      <w:pPr>
        <w:pStyle w:val="16"/>
        <w:numPr>
          <w:ilvl w:val="0"/>
          <w:numId w:val="0"/>
        </w:numPr>
        <w:rPr>
          <w:rFonts w:ascii="宋体" w:hAnsi="宋体" w:eastAsia="宋体"/>
          <w:b/>
          <w:bCs/>
          <w:color w:val="auto"/>
          <w:lang w:eastAsia="zh-Hans"/>
        </w:rPr>
      </w:pPr>
    </w:p>
    <w:p>
      <w:pPr>
        <w:pStyle w:val="16"/>
        <w:numPr>
          <w:ilvl w:val="0"/>
          <w:numId w:val="0"/>
        </w:numPr>
        <w:rPr>
          <w:rFonts w:ascii="宋体" w:hAnsi="宋体" w:eastAsia="宋体"/>
          <w:b/>
          <w:bCs/>
          <w:color w:val="auto"/>
          <w:lang w:eastAsia="zh-Hans"/>
        </w:rPr>
      </w:pPr>
    </w:p>
    <w:p>
      <w:pPr>
        <w:pStyle w:val="16"/>
        <w:numPr>
          <w:ilvl w:val="0"/>
          <w:numId w:val="3"/>
        </w:numPr>
        <w:rPr>
          <w:rFonts w:ascii="宋体" w:hAnsi="宋体" w:eastAsia="宋体"/>
          <w:b/>
          <w:bCs/>
          <w:color w:val="auto"/>
          <w:lang w:eastAsia="zh-Hans"/>
        </w:rPr>
      </w:pPr>
      <w:r>
        <w:rPr>
          <w:rFonts w:hint="eastAsia" w:ascii="宋体" w:hAnsi="宋体" w:eastAsia="宋体"/>
          <w:b/>
          <w:bCs/>
          <w:color w:val="auto"/>
          <w:lang w:eastAsia="zh-Hans"/>
        </w:rPr>
        <w:t>服务流程</w:t>
      </w:r>
    </w:p>
    <w:tbl>
      <w:tblPr>
        <w:tblStyle w:val="8"/>
        <w:tblW w:w="8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52"/>
        <w:gridCol w:w="4477"/>
        <w:gridCol w:w="107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0" w:type="dxa"/>
            <w:shd w:val="clear" w:color="auto" w:fill="auto"/>
            <w:vAlign w:val="center"/>
          </w:tcPr>
          <w:p>
            <w:pPr>
              <w:jc w:val="center"/>
              <w:rPr>
                <w:rFonts w:ascii="宋体" w:hAnsi="宋体" w:eastAsia="宋体" w:cs="宋体"/>
                <w:b/>
                <w:bCs/>
                <w:szCs w:val="21"/>
              </w:rPr>
            </w:pPr>
            <w:r>
              <w:rPr>
                <w:rFonts w:hint="eastAsia" w:ascii="宋体" w:hAnsi="宋体" w:eastAsia="宋体" w:cs="宋体"/>
                <w:b/>
                <w:bCs/>
                <w:kern w:val="0"/>
                <w:szCs w:val="21"/>
              </w:rPr>
              <w:t>开展内容</w:t>
            </w:r>
          </w:p>
        </w:tc>
        <w:tc>
          <w:tcPr>
            <w:tcW w:w="1152" w:type="dxa"/>
            <w:shd w:val="clear" w:color="auto" w:fill="auto"/>
            <w:vAlign w:val="center"/>
          </w:tcPr>
          <w:p>
            <w:pPr>
              <w:jc w:val="center"/>
              <w:rPr>
                <w:rFonts w:ascii="宋体" w:hAnsi="宋体" w:eastAsia="宋体" w:cs="宋体"/>
                <w:b/>
                <w:bCs/>
                <w:szCs w:val="21"/>
              </w:rPr>
            </w:pPr>
            <w:r>
              <w:rPr>
                <w:rFonts w:hint="eastAsia" w:ascii="宋体" w:hAnsi="宋体" w:eastAsia="宋体" w:cs="宋体"/>
                <w:b/>
                <w:bCs/>
                <w:kern w:val="0"/>
                <w:szCs w:val="21"/>
              </w:rPr>
              <w:t>作品类型</w:t>
            </w:r>
          </w:p>
        </w:tc>
        <w:tc>
          <w:tcPr>
            <w:tcW w:w="4477" w:type="dxa"/>
            <w:shd w:val="clear" w:color="auto" w:fill="auto"/>
            <w:vAlign w:val="center"/>
          </w:tcPr>
          <w:p>
            <w:pPr>
              <w:jc w:val="center"/>
              <w:rPr>
                <w:rFonts w:ascii="宋体" w:hAnsi="宋体" w:eastAsia="宋体" w:cs="宋体"/>
                <w:b/>
                <w:bCs/>
                <w:szCs w:val="21"/>
              </w:rPr>
            </w:pPr>
            <w:r>
              <w:rPr>
                <w:rFonts w:hint="eastAsia" w:ascii="宋体" w:hAnsi="宋体" w:eastAsia="宋体" w:cs="宋体"/>
                <w:b/>
                <w:bCs/>
                <w:kern w:val="0"/>
                <w:szCs w:val="21"/>
              </w:rPr>
              <w:t>实施内容</w:t>
            </w:r>
          </w:p>
        </w:tc>
        <w:tc>
          <w:tcPr>
            <w:tcW w:w="1077" w:type="dxa"/>
            <w:shd w:val="clear" w:color="auto" w:fill="auto"/>
            <w:vAlign w:val="center"/>
          </w:tcPr>
          <w:p>
            <w:pPr>
              <w:jc w:val="center"/>
              <w:rPr>
                <w:rFonts w:ascii="宋体" w:hAnsi="宋体" w:eastAsia="宋体" w:cs="宋体"/>
                <w:b/>
                <w:bCs/>
                <w:szCs w:val="21"/>
              </w:rPr>
            </w:pPr>
            <w:r>
              <w:rPr>
                <w:rFonts w:hint="eastAsia" w:ascii="宋体" w:hAnsi="宋体" w:eastAsia="宋体" w:cs="宋体"/>
                <w:b/>
                <w:bCs/>
                <w:kern w:val="0"/>
                <w:szCs w:val="21"/>
              </w:rPr>
              <w:t>实施方式</w:t>
            </w:r>
          </w:p>
        </w:tc>
        <w:tc>
          <w:tcPr>
            <w:tcW w:w="794" w:type="dxa"/>
            <w:shd w:val="clear" w:color="auto" w:fill="auto"/>
            <w:vAlign w:val="center"/>
          </w:tcPr>
          <w:p>
            <w:pPr>
              <w:jc w:val="center"/>
              <w:rPr>
                <w:rFonts w:hint="eastAsia" w:ascii="宋体" w:hAnsi="宋体" w:eastAsia="宋体" w:cs="宋体"/>
                <w:b/>
                <w:bCs/>
                <w:szCs w:val="21"/>
                <w:lang w:eastAsia="zh-CN"/>
              </w:rPr>
            </w:pPr>
            <w:r>
              <w:rPr>
                <w:rFonts w:hint="eastAsia" w:ascii="宋体" w:hAnsi="宋体" w:eastAsia="宋体" w:cs="宋体"/>
                <w:b/>
                <w:bCs/>
                <w:kern w:val="0"/>
                <w:szCs w:val="21"/>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Merge w:val="restart"/>
          </w:tcPr>
          <w:p>
            <w:pPr>
              <w:spacing w:line="360" w:lineRule="auto"/>
              <w:jc w:val="left"/>
              <w:rPr>
                <w:rFonts w:hint="eastAsia" w:ascii="仿宋" w:hAnsi="仿宋" w:eastAsia="仿宋" w:cs="仿宋"/>
                <w:color w:val="auto"/>
                <w:sz w:val="24"/>
              </w:rPr>
            </w:pPr>
          </w:p>
          <w:p>
            <w:pPr>
              <w:spacing w:line="360" w:lineRule="auto"/>
              <w:jc w:val="left"/>
              <w:rPr>
                <w:rFonts w:hint="eastAsia" w:ascii="仿宋" w:hAnsi="仿宋" w:eastAsia="仿宋" w:cs="仿宋"/>
                <w:color w:val="auto"/>
                <w:sz w:val="24"/>
              </w:rPr>
            </w:pPr>
          </w:p>
          <w:p>
            <w:pPr>
              <w:spacing w:line="360" w:lineRule="auto"/>
              <w:jc w:val="left"/>
              <w:rPr>
                <w:rFonts w:hint="eastAsia" w:ascii="仿宋" w:hAnsi="仿宋" w:eastAsia="仿宋" w:cs="仿宋"/>
                <w:color w:val="auto"/>
                <w:sz w:val="24"/>
              </w:rPr>
            </w:pPr>
          </w:p>
          <w:p>
            <w:pPr>
              <w:spacing w:line="360" w:lineRule="auto"/>
              <w:jc w:val="left"/>
              <w:rPr>
                <w:rFonts w:hint="eastAsia" w:ascii="仿宋" w:hAnsi="仿宋" w:eastAsia="仿宋" w:cs="仿宋"/>
                <w:color w:val="auto"/>
                <w:sz w:val="24"/>
              </w:rPr>
            </w:pPr>
          </w:p>
          <w:p>
            <w:pPr>
              <w:spacing w:line="360" w:lineRule="auto"/>
              <w:jc w:val="left"/>
              <w:rPr>
                <w:rFonts w:hint="eastAsia" w:ascii="仿宋" w:hAnsi="仿宋" w:eastAsia="仿宋" w:cs="仿宋"/>
                <w:color w:val="auto"/>
                <w:sz w:val="24"/>
              </w:rPr>
            </w:pPr>
          </w:p>
          <w:p>
            <w:pPr>
              <w:spacing w:line="360" w:lineRule="auto"/>
              <w:jc w:val="left"/>
              <w:rPr>
                <w:rFonts w:hint="eastAsia" w:ascii="仿宋" w:hAnsi="仿宋" w:eastAsia="仿宋" w:cs="仿宋"/>
                <w:color w:val="auto"/>
                <w:sz w:val="24"/>
              </w:rPr>
            </w:pP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教</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学</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能</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力</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大</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赛</w:t>
            </w:r>
          </w:p>
        </w:tc>
        <w:tc>
          <w:tcPr>
            <w:tcW w:w="1152" w:type="dxa"/>
            <w:vMerge w:val="restart"/>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lang w:eastAsia="zh-Hans"/>
              </w:rPr>
              <w:t>国</w:t>
            </w:r>
            <w:r>
              <w:rPr>
                <w:rFonts w:hint="eastAsia" w:ascii="仿宋" w:hAnsi="仿宋" w:eastAsia="仿宋" w:cs="仿宋"/>
                <w:color w:val="auto"/>
                <w:sz w:val="24"/>
              </w:rPr>
              <w:t>赛</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参赛</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作品</w:t>
            </w:r>
          </w:p>
          <w:p>
            <w:pPr>
              <w:spacing w:line="360" w:lineRule="auto"/>
              <w:jc w:val="left"/>
              <w:rPr>
                <w:rFonts w:hint="eastAsia" w:ascii="仿宋" w:hAnsi="仿宋" w:eastAsia="仿宋" w:cs="仿宋"/>
                <w:color w:val="auto"/>
                <w:sz w:val="24"/>
              </w:rPr>
            </w:pPr>
          </w:p>
        </w:tc>
        <w:tc>
          <w:tcPr>
            <w:tcW w:w="4477" w:type="dxa"/>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专家对教师</w:t>
            </w:r>
            <w:r>
              <w:rPr>
                <w:rFonts w:hint="eastAsia" w:ascii="仿宋" w:hAnsi="仿宋" w:eastAsia="仿宋" w:cs="仿宋"/>
                <w:color w:val="auto"/>
                <w:sz w:val="24"/>
                <w:lang w:eastAsia="zh-Hans"/>
              </w:rPr>
              <w:t>国</w:t>
            </w:r>
            <w:r>
              <w:rPr>
                <w:rFonts w:hint="eastAsia" w:ascii="仿宋" w:hAnsi="仿宋" w:eastAsia="仿宋" w:cs="仿宋"/>
                <w:color w:val="auto"/>
                <w:sz w:val="24"/>
              </w:rPr>
              <w:t>赛作品按照专业大类进行第一轮磨课（第一轮由专家对所有</w:t>
            </w:r>
            <w:r>
              <w:rPr>
                <w:rFonts w:hint="eastAsia" w:ascii="仿宋" w:hAnsi="仿宋" w:eastAsia="仿宋" w:cs="仿宋"/>
                <w:color w:val="auto"/>
                <w:sz w:val="24"/>
                <w:lang w:eastAsia="zh-Hans"/>
              </w:rPr>
              <w:t>教学实施框架内容</w:t>
            </w:r>
            <w:r>
              <w:rPr>
                <w:rFonts w:hint="eastAsia" w:ascii="仿宋" w:hAnsi="仿宋" w:eastAsia="仿宋" w:cs="仿宋"/>
                <w:color w:val="auto"/>
                <w:sz w:val="24"/>
              </w:rPr>
              <w:t>进行磨课，</w:t>
            </w:r>
            <w:r>
              <w:rPr>
                <w:rFonts w:hint="eastAsia" w:ascii="仿宋" w:hAnsi="仿宋" w:eastAsia="仿宋" w:cs="仿宋"/>
                <w:color w:val="auto"/>
                <w:sz w:val="24"/>
                <w:lang w:eastAsia="zh-Hans"/>
              </w:rPr>
              <w:t>时长2</w:t>
            </w:r>
            <w:r>
              <w:rPr>
                <w:rFonts w:hint="eastAsia" w:ascii="仿宋" w:hAnsi="仿宋" w:eastAsia="仿宋" w:cs="仿宋"/>
                <w:color w:val="auto"/>
                <w:sz w:val="24"/>
              </w:rPr>
              <w:t>小时）</w:t>
            </w:r>
          </w:p>
        </w:tc>
        <w:tc>
          <w:tcPr>
            <w:tcW w:w="1077" w:type="dxa"/>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线上指导</w:t>
            </w:r>
          </w:p>
        </w:tc>
        <w:tc>
          <w:tcPr>
            <w:tcW w:w="794"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Merge w:val="continue"/>
          </w:tcPr>
          <w:p>
            <w:pPr>
              <w:spacing w:line="360" w:lineRule="auto"/>
              <w:jc w:val="left"/>
              <w:rPr>
                <w:rFonts w:hint="eastAsia" w:ascii="仿宋" w:hAnsi="仿宋" w:eastAsia="仿宋" w:cs="仿宋"/>
                <w:color w:val="auto"/>
                <w:sz w:val="24"/>
              </w:rPr>
            </w:pPr>
          </w:p>
        </w:tc>
        <w:tc>
          <w:tcPr>
            <w:tcW w:w="1152" w:type="dxa"/>
            <w:vMerge w:val="continue"/>
          </w:tcPr>
          <w:p>
            <w:pPr>
              <w:spacing w:line="360" w:lineRule="auto"/>
              <w:jc w:val="left"/>
              <w:rPr>
                <w:rFonts w:hint="eastAsia" w:ascii="仿宋" w:hAnsi="仿宋" w:eastAsia="仿宋" w:cs="仿宋"/>
                <w:color w:val="auto"/>
                <w:sz w:val="24"/>
              </w:rPr>
            </w:pPr>
          </w:p>
        </w:tc>
        <w:tc>
          <w:tcPr>
            <w:tcW w:w="4477" w:type="dxa"/>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针对参赛选手视频片段进行初步沟通，同时对于文档材料做初步交流，并提供相应模板和参考素材</w:t>
            </w:r>
          </w:p>
        </w:tc>
        <w:tc>
          <w:tcPr>
            <w:tcW w:w="1077"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线</w:t>
            </w:r>
            <w:r>
              <w:rPr>
                <w:rFonts w:hint="eastAsia" w:ascii="仿宋" w:hAnsi="仿宋" w:eastAsia="仿宋" w:cs="仿宋"/>
                <w:color w:val="auto"/>
                <w:sz w:val="24"/>
                <w:lang w:val="en-US" w:eastAsia="zh-Hans"/>
              </w:rPr>
              <w:t>下</w:t>
            </w:r>
            <w:r>
              <w:rPr>
                <w:rFonts w:hint="eastAsia" w:ascii="仿宋" w:hAnsi="仿宋" w:eastAsia="仿宋" w:cs="仿宋"/>
                <w:color w:val="auto"/>
                <w:sz w:val="24"/>
                <w:lang w:eastAsia="zh-CN"/>
              </w:rPr>
              <w:t>指导</w:t>
            </w:r>
          </w:p>
        </w:tc>
        <w:tc>
          <w:tcPr>
            <w:tcW w:w="794" w:type="dxa"/>
            <w:vAlign w:val="center"/>
          </w:tcPr>
          <w:p>
            <w:pPr>
              <w:spacing w:line="360" w:lineRule="auto"/>
              <w:jc w:val="left"/>
              <w:rPr>
                <w:rFonts w:hint="eastAsia" w:ascii="仿宋" w:hAnsi="仿宋" w:eastAsia="仿宋" w:cs="仿宋"/>
                <w:color w:val="auto"/>
                <w:sz w:val="24"/>
                <w:lang w:val="en-US" w:eastAsia="zh-Hans"/>
              </w:rPr>
            </w:pPr>
            <w:r>
              <w:rPr>
                <w:rFonts w:hint="eastAsia" w:ascii="仿宋" w:hAnsi="仿宋" w:eastAsia="仿宋" w:cs="仿宋"/>
                <w:color w:val="auto"/>
                <w:sz w:val="24"/>
                <w:lang w:val="en-US" w:eastAsia="zh-Hans"/>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Merge w:val="continue"/>
          </w:tcPr>
          <w:p>
            <w:pPr>
              <w:spacing w:line="360" w:lineRule="auto"/>
              <w:jc w:val="left"/>
              <w:rPr>
                <w:rFonts w:hint="eastAsia" w:ascii="仿宋" w:hAnsi="仿宋" w:eastAsia="仿宋" w:cs="仿宋"/>
                <w:color w:val="auto"/>
                <w:sz w:val="24"/>
              </w:rPr>
            </w:pPr>
          </w:p>
        </w:tc>
        <w:tc>
          <w:tcPr>
            <w:tcW w:w="1152" w:type="dxa"/>
            <w:vMerge w:val="continue"/>
          </w:tcPr>
          <w:p>
            <w:pPr>
              <w:spacing w:line="360" w:lineRule="auto"/>
              <w:jc w:val="left"/>
              <w:rPr>
                <w:rFonts w:hint="eastAsia" w:ascii="仿宋" w:hAnsi="仿宋" w:eastAsia="仿宋" w:cs="仿宋"/>
                <w:color w:val="auto"/>
                <w:sz w:val="24"/>
              </w:rPr>
            </w:pPr>
          </w:p>
        </w:tc>
        <w:tc>
          <w:tcPr>
            <w:tcW w:w="4477" w:type="dxa"/>
            <w:vAlign w:val="center"/>
          </w:tcPr>
          <w:p>
            <w:pPr>
              <w:spacing w:line="360" w:lineRule="auto"/>
              <w:jc w:val="left"/>
              <w:rPr>
                <w:rFonts w:hint="eastAsia" w:ascii="仿宋" w:hAnsi="仿宋" w:eastAsia="仿宋" w:cs="仿宋"/>
                <w:color w:val="auto"/>
                <w:sz w:val="24"/>
                <w:lang w:val="en-US" w:eastAsia="zh-Hans"/>
              </w:rPr>
            </w:pPr>
            <w:r>
              <w:rPr>
                <w:rFonts w:hint="eastAsia" w:ascii="仿宋" w:hAnsi="仿宋" w:eastAsia="仿宋" w:cs="仿宋"/>
                <w:color w:val="auto"/>
                <w:sz w:val="24"/>
                <w:lang w:val="en-US" w:eastAsia="zh-Hans"/>
              </w:rPr>
              <w:t>针对参赛作品视频拍摄脚本进一步进行沟通，明确整体设计，参观了解拍摄场地状况，同时针对拍摄的注意事项进行培训，并且进行样片试拍。针对视频片段内容拍摄样片进行指导，优化调整视频最终内容</w:t>
            </w:r>
          </w:p>
        </w:tc>
        <w:tc>
          <w:tcPr>
            <w:tcW w:w="1077"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线</w:t>
            </w:r>
            <w:r>
              <w:rPr>
                <w:rFonts w:hint="eastAsia" w:ascii="仿宋" w:hAnsi="仿宋" w:eastAsia="仿宋" w:cs="仿宋"/>
                <w:color w:val="auto"/>
                <w:sz w:val="24"/>
                <w:lang w:val="en-US" w:eastAsia="zh-Hans"/>
              </w:rPr>
              <w:t>下</w:t>
            </w:r>
            <w:r>
              <w:rPr>
                <w:rFonts w:hint="eastAsia" w:ascii="仿宋" w:hAnsi="仿宋" w:eastAsia="仿宋" w:cs="仿宋"/>
                <w:color w:val="auto"/>
                <w:sz w:val="24"/>
                <w:lang w:eastAsia="zh-CN"/>
              </w:rPr>
              <w:t>指导</w:t>
            </w:r>
          </w:p>
        </w:tc>
        <w:tc>
          <w:tcPr>
            <w:tcW w:w="794" w:type="dxa"/>
            <w:vAlign w:val="center"/>
          </w:tcPr>
          <w:p>
            <w:pPr>
              <w:spacing w:line="360" w:lineRule="auto"/>
              <w:jc w:val="left"/>
              <w:rPr>
                <w:rFonts w:hint="eastAsia" w:ascii="仿宋" w:hAnsi="仿宋" w:eastAsia="仿宋" w:cs="仿宋"/>
                <w:color w:val="auto"/>
                <w:sz w:val="24"/>
                <w:lang w:val="en-US" w:eastAsia="zh-Hans"/>
              </w:rPr>
            </w:pPr>
            <w:r>
              <w:rPr>
                <w:rFonts w:hint="eastAsia" w:ascii="仿宋" w:hAnsi="仿宋" w:eastAsia="仿宋" w:cs="仿宋"/>
                <w:color w:val="auto"/>
                <w:sz w:val="24"/>
                <w:lang w:val="en-US" w:eastAsia="zh-Hans"/>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Merge w:val="continue"/>
          </w:tcPr>
          <w:p>
            <w:pPr>
              <w:spacing w:line="360" w:lineRule="auto"/>
              <w:jc w:val="left"/>
              <w:rPr>
                <w:rFonts w:hint="eastAsia" w:ascii="仿宋" w:hAnsi="仿宋" w:eastAsia="仿宋" w:cs="仿宋"/>
                <w:color w:val="auto"/>
                <w:sz w:val="24"/>
              </w:rPr>
            </w:pPr>
          </w:p>
        </w:tc>
        <w:tc>
          <w:tcPr>
            <w:tcW w:w="1152" w:type="dxa"/>
            <w:vMerge w:val="continue"/>
          </w:tcPr>
          <w:p>
            <w:pPr>
              <w:spacing w:line="360" w:lineRule="auto"/>
              <w:jc w:val="left"/>
              <w:rPr>
                <w:rFonts w:hint="eastAsia" w:ascii="仿宋" w:hAnsi="仿宋" w:eastAsia="仿宋" w:cs="仿宋"/>
                <w:color w:val="auto"/>
                <w:sz w:val="24"/>
              </w:rPr>
            </w:pPr>
          </w:p>
        </w:tc>
        <w:tc>
          <w:tcPr>
            <w:tcW w:w="4477" w:type="dxa"/>
            <w:vAlign w:val="center"/>
          </w:tcPr>
          <w:p>
            <w:pPr>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rPr>
              <w:t>针对参赛选手视频片段进行初步沟通，同时对于文档材料做初步交流，并提供相应模板和参考素材</w:t>
            </w:r>
            <w:r>
              <w:rPr>
                <w:rFonts w:hint="eastAsia" w:ascii="仿宋" w:hAnsi="仿宋" w:eastAsia="仿宋" w:cs="仿宋"/>
                <w:color w:val="auto"/>
                <w:sz w:val="24"/>
                <w:lang w:eastAsia="zh-CN"/>
              </w:rPr>
              <w:t>，针对参赛作品材料进行指导，包括实施报告、教案人培、课标等内容提供优化建议。</w:t>
            </w:r>
          </w:p>
        </w:tc>
        <w:tc>
          <w:tcPr>
            <w:tcW w:w="1077" w:type="dxa"/>
            <w:vAlign w:val="center"/>
          </w:tcPr>
          <w:p>
            <w:pPr>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线上指导</w:t>
            </w:r>
          </w:p>
        </w:tc>
        <w:tc>
          <w:tcPr>
            <w:tcW w:w="794" w:type="dxa"/>
            <w:vAlign w:val="center"/>
          </w:tcPr>
          <w:p>
            <w:pPr>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Merge w:val="continue"/>
          </w:tcPr>
          <w:p>
            <w:pPr>
              <w:spacing w:line="360" w:lineRule="auto"/>
              <w:jc w:val="left"/>
              <w:rPr>
                <w:rFonts w:hint="eastAsia" w:ascii="仿宋" w:hAnsi="仿宋" w:eastAsia="仿宋" w:cs="仿宋"/>
                <w:color w:val="auto"/>
                <w:sz w:val="24"/>
              </w:rPr>
            </w:pPr>
          </w:p>
        </w:tc>
        <w:tc>
          <w:tcPr>
            <w:tcW w:w="1152" w:type="dxa"/>
            <w:vMerge w:val="continue"/>
          </w:tcPr>
          <w:p>
            <w:pPr>
              <w:spacing w:line="360" w:lineRule="auto"/>
              <w:jc w:val="left"/>
              <w:rPr>
                <w:rFonts w:hint="eastAsia" w:ascii="仿宋" w:hAnsi="仿宋" w:eastAsia="仿宋" w:cs="仿宋"/>
                <w:color w:val="auto"/>
                <w:sz w:val="24"/>
              </w:rPr>
            </w:pPr>
          </w:p>
        </w:tc>
        <w:tc>
          <w:tcPr>
            <w:tcW w:w="4477" w:type="dxa"/>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针对参赛作品视频拍摄脚本进一步进行沟通，明确整体设计，参观了解拍摄场地状况，同时针对拍摄的注意事项进行培训，并且进行样片试拍。针对视频片段内容拍摄样片进行指导，优化调整视频最终内容</w:t>
            </w:r>
          </w:p>
        </w:tc>
        <w:tc>
          <w:tcPr>
            <w:tcW w:w="1077"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线下指导</w:t>
            </w:r>
          </w:p>
        </w:tc>
        <w:tc>
          <w:tcPr>
            <w:tcW w:w="794"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Merge w:val="continue"/>
          </w:tcPr>
          <w:p>
            <w:pPr>
              <w:spacing w:line="360" w:lineRule="auto"/>
              <w:jc w:val="left"/>
              <w:rPr>
                <w:rFonts w:hint="eastAsia" w:ascii="仿宋" w:hAnsi="仿宋" w:eastAsia="仿宋" w:cs="仿宋"/>
                <w:color w:val="auto"/>
                <w:sz w:val="24"/>
              </w:rPr>
            </w:pPr>
          </w:p>
        </w:tc>
        <w:tc>
          <w:tcPr>
            <w:tcW w:w="1152" w:type="dxa"/>
            <w:vMerge w:val="continue"/>
          </w:tcPr>
          <w:p>
            <w:pPr>
              <w:spacing w:line="360" w:lineRule="auto"/>
              <w:jc w:val="left"/>
              <w:rPr>
                <w:rFonts w:hint="eastAsia" w:ascii="仿宋" w:hAnsi="仿宋" w:eastAsia="仿宋" w:cs="仿宋"/>
                <w:color w:val="auto"/>
                <w:sz w:val="24"/>
              </w:rPr>
            </w:pPr>
          </w:p>
        </w:tc>
        <w:tc>
          <w:tcPr>
            <w:tcW w:w="4477" w:type="dxa"/>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主要教学视频正式拍摄现场指导工作，现场提供进一步的优化意见，确保最终拍摄质量</w:t>
            </w:r>
          </w:p>
        </w:tc>
        <w:tc>
          <w:tcPr>
            <w:tcW w:w="1077" w:type="dxa"/>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lang w:eastAsia="zh-Hans"/>
              </w:rPr>
              <w:t>线下</w:t>
            </w:r>
          </w:p>
        </w:tc>
        <w:tc>
          <w:tcPr>
            <w:tcW w:w="794"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Merge w:val="continue"/>
          </w:tcPr>
          <w:p>
            <w:pPr>
              <w:spacing w:line="360" w:lineRule="auto"/>
              <w:jc w:val="left"/>
              <w:rPr>
                <w:rFonts w:hint="eastAsia" w:ascii="仿宋" w:hAnsi="仿宋" w:eastAsia="仿宋" w:cs="仿宋"/>
                <w:color w:val="auto"/>
                <w:sz w:val="24"/>
              </w:rPr>
            </w:pPr>
          </w:p>
        </w:tc>
        <w:tc>
          <w:tcPr>
            <w:tcW w:w="1152" w:type="dxa"/>
            <w:vMerge w:val="continue"/>
          </w:tcPr>
          <w:p>
            <w:pPr>
              <w:spacing w:line="360" w:lineRule="auto"/>
              <w:jc w:val="left"/>
              <w:rPr>
                <w:rFonts w:hint="eastAsia" w:ascii="仿宋" w:hAnsi="仿宋" w:eastAsia="仿宋" w:cs="仿宋"/>
                <w:color w:val="auto"/>
                <w:sz w:val="24"/>
              </w:rPr>
            </w:pPr>
          </w:p>
        </w:tc>
        <w:tc>
          <w:tcPr>
            <w:tcW w:w="4477" w:type="dxa"/>
            <w:vAlign w:val="center"/>
          </w:tcPr>
          <w:p>
            <w:pPr>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rPr>
              <w:t>主要针对实施报告、教案、人才培养方案、课程标准等再一次进行培训指导，针对细节问题进一步沟通培训，明确最后文档内容</w:t>
            </w:r>
          </w:p>
        </w:tc>
        <w:tc>
          <w:tcPr>
            <w:tcW w:w="1077" w:type="dxa"/>
            <w:vAlign w:val="center"/>
          </w:tcPr>
          <w:p>
            <w:pPr>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线上</w:t>
            </w:r>
          </w:p>
        </w:tc>
        <w:tc>
          <w:tcPr>
            <w:tcW w:w="794" w:type="dxa"/>
            <w:vAlign w:val="center"/>
          </w:tcPr>
          <w:p>
            <w:pPr>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Merge w:val="continue"/>
          </w:tcPr>
          <w:p>
            <w:pPr>
              <w:spacing w:line="360" w:lineRule="auto"/>
              <w:jc w:val="left"/>
              <w:rPr>
                <w:rFonts w:hint="eastAsia" w:ascii="仿宋" w:hAnsi="仿宋" w:eastAsia="仿宋" w:cs="仿宋"/>
                <w:color w:val="auto"/>
                <w:sz w:val="24"/>
              </w:rPr>
            </w:pPr>
          </w:p>
        </w:tc>
        <w:tc>
          <w:tcPr>
            <w:tcW w:w="1152" w:type="dxa"/>
            <w:vMerge w:val="continue"/>
          </w:tcPr>
          <w:p>
            <w:pPr>
              <w:spacing w:line="360" w:lineRule="auto"/>
              <w:jc w:val="left"/>
              <w:rPr>
                <w:rFonts w:hint="eastAsia" w:ascii="仿宋" w:hAnsi="仿宋" w:eastAsia="仿宋" w:cs="仿宋"/>
                <w:color w:val="auto"/>
                <w:sz w:val="24"/>
              </w:rPr>
            </w:pPr>
          </w:p>
        </w:tc>
        <w:tc>
          <w:tcPr>
            <w:tcW w:w="4477" w:type="dxa"/>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教师针对专家修改意见修改作品</w:t>
            </w:r>
          </w:p>
        </w:tc>
        <w:tc>
          <w:tcPr>
            <w:tcW w:w="1077" w:type="dxa"/>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教师修改</w:t>
            </w:r>
          </w:p>
        </w:tc>
        <w:tc>
          <w:tcPr>
            <w:tcW w:w="794"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Merge w:val="continue"/>
          </w:tcPr>
          <w:p>
            <w:pPr>
              <w:spacing w:line="360" w:lineRule="auto"/>
              <w:jc w:val="left"/>
              <w:rPr>
                <w:rFonts w:hint="eastAsia" w:ascii="仿宋" w:hAnsi="仿宋" w:eastAsia="仿宋" w:cs="仿宋"/>
                <w:color w:val="auto"/>
                <w:sz w:val="24"/>
              </w:rPr>
            </w:pPr>
          </w:p>
        </w:tc>
        <w:tc>
          <w:tcPr>
            <w:tcW w:w="1152" w:type="dxa"/>
            <w:vMerge w:val="continue"/>
          </w:tcPr>
          <w:p>
            <w:pPr>
              <w:spacing w:line="360" w:lineRule="auto"/>
              <w:jc w:val="left"/>
              <w:rPr>
                <w:rFonts w:hint="eastAsia" w:ascii="仿宋" w:hAnsi="仿宋" w:eastAsia="仿宋" w:cs="仿宋"/>
                <w:color w:val="auto"/>
                <w:sz w:val="24"/>
              </w:rPr>
            </w:pPr>
          </w:p>
        </w:tc>
        <w:tc>
          <w:tcPr>
            <w:tcW w:w="4477" w:type="dxa"/>
            <w:vAlign w:val="center"/>
          </w:tcPr>
          <w:p>
            <w:pPr>
              <w:spacing w:line="360" w:lineRule="auto"/>
              <w:jc w:val="left"/>
              <w:rPr>
                <w:rFonts w:hint="eastAsia" w:ascii="仿宋" w:hAnsi="仿宋" w:eastAsia="仿宋" w:cs="仿宋"/>
                <w:color w:val="auto"/>
                <w:sz w:val="24"/>
                <w:lang w:eastAsia="zh-Hans"/>
              </w:rPr>
            </w:pPr>
            <w:r>
              <w:rPr>
                <w:rFonts w:hint="eastAsia" w:ascii="仿宋" w:hAnsi="仿宋" w:eastAsia="仿宋" w:cs="仿宋"/>
                <w:color w:val="auto"/>
                <w:sz w:val="24"/>
                <w:lang w:eastAsia="zh-Hans"/>
              </w:rPr>
              <w:t>国赛专家对作品进行指导，教师并最终形成定稿</w:t>
            </w:r>
          </w:p>
        </w:tc>
        <w:tc>
          <w:tcPr>
            <w:tcW w:w="1077"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rPr>
              <w:t>教师</w:t>
            </w:r>
            <w:r>
              <w:rPr>
                <w:rFonts w:hint="eastAsia" w:ascii="仿宋" w:hAnsi="仿宋" w:eastAsia="仿宋" w:cs="仿宋"/>
                <w:color w:val="auto"/>
                <w:sz w:val="24"/>
                <w:lang w:eastAsia="zh-CN"/>
              </w:rPr>
              <w:t>完成</w:t>
            </w:r>
          </w:p>
        </w:tc>
        <w:tc>
          <w:tcPr>
            <w:tcW w:w="794"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Merge w:val="continue"/>
          </w:tcPr>
          <w:p>
            <w:pPr>
              <w:spacing w:line="360" w:lineRule="auto"/>
              <w:jc w:val="left"/>
              <w:rPr>
                <w:rFonts w:hint="eastAsia" w:ascii="仿宋" w:hAnsi="仿宋" w:eastAsia="仿宋" w:cs="仿宋"/>
                <w:color w:val="auto"/>
                <w:sz w:val="24"/>
              </w:rPr>
            </w:pPr>
          </w:p>
        </w:tc>
        <w:tc>
          <w:tcPr>
            <w:tcW w:w="1152" w:type="dxa"/>
            <w:vMerge w:val="continue"/>
          </w:tcPr>
          <w:p>
            <w:pPr>
              <w:spacing w:line="360" w:lineRule="auto"/>
              <w:jc w:val="left"/>
              <w:rPr>
                <w:rFonts w:hint="eastAsia" w:ascii="仿宋" w:hAnsi="仿宋" w:eastAsia="仿宋" w:cs="仿宋"/>
                <w:color w:val="auto"/>
                <w:sz w:val="24"/>
              </w:rPr>
            </w:pPr>
          </w:p>
        </w:tc>
        <w:tc>
          <w:tcPr>
            <w:tcW w:w="4477" w:type="dxa"/>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上交比赛材料</w:t>
            </w:r>
          </w:p>
        </w:tc>
        <w:tc>
          <w:tcPr>
            <w:tcW w:w="1077" w:type="dxa"/>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校方负责</w:t>
            </w:r>
          </w:p>
        </w:tc>
        <w:tc>
          <w:tcPr>
            <w:tcW w:w="794"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Pr>
          <w:p>
            <w:pPr>
              <w:spacing w:line="360" w:lineRule="auto"/>
              <w:jc w:val="left"/>
              <w:rPr>
                <w:rFonts w:hint="eastAsia" w:ascii="仿宋" w:hAnsi="仿宋" w:eastAsia="仿宋" w:cs="仿宋"/>
                <w:color w:val="auto"/>
                <w:sz w:val="24"/>
              </w:rPr>
            </w:pPr>
          </w:p>
        </w:tc>
        <w:tc>
          <w:tcPr>
            <w:tcW w:w="1152" w:type="dxa"/>
            <w:vAlign w:val="top"/>
          </w:tcPr>
          <w:p>
            <w:pPr>
              <w:spacing w:line="360" w:lineRule="auto"/>
              <w:jc w:val="left"/>
              <w:rPr>
                <w:rFonts w:hint="eastAsia" w:ascii="仿宋" w:hAnsi="仿宋" w:eastAsia="仿宋" w:cs="仿宋"/>
                <w:color w:val="auto"/>
                <w:sz w:val="24"/>
                <w:lang w:val="en-US" w:eastAsia="zh-CN"/>
              </w:rPr>
            </w:pPr>
          </w:p>
        </w:tc>
        <w:tc>
          <w:tcPr>
            <w:tcW w:w="4477" w:type="dxa"/>
            <w:vAlign w:val="top"/>
          </w:tcPr>
          <w:p>
            <w:pPr>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rPr>
              <w:t>主要是针对决赛环节，包括实施报告如何介绍、无答辩环节注意要领以及限时限点两段视频片段拍摄设计指导等</w:t>
            </w:r>
          </w:p>
        </w:tc>
        <w:tc>
          <w:tcPr>
            <w:tcW w:w="1077"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线下指导</w:t>
            </w:r>
          </w:p>
        </w:tc>
        <w:tc>
          <w:tcPr>
            <w:tcW w:w="794"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学校</w:t>
            </w:r>
          </w:p>
        </w:tc>
      </w:tr>
    </w:tbl>
    <w:p>
      <w:pPr>
        <w:pStyle w:val="16"/>
        <w:rPr>
          <w:rFonts w:ascii="宋体" w:hAnsi="宋体" w:eastAsia="宋体"/>
          <w:b/>
          <w:bCs/>
          <w:color w:val="auto"/>
          <w:lang w:eastAsia="zh-Hans"/>
        </w:rPr>
      </w:pPr>
    </w:p>
    <w:p>
      <w:pPr>
        <w:pStyle w:val="3"/>
      </w:pPr>
      <w:r>
        <w:rPr>
          <w:rFonts w:hint="eastAsia"/>
        </w:rPr>
        <w:t>三、</w:t>
      </w:r>
      <w:r>
        <w:rPr>
          <w:rFonts w:hint="eastAsia"/>
          <w:lang w:eastAsia="zh-Hans"/>
        </w:rPr>
        <w:t>服务内容</w:t>
      </w:r>
    </w:p>
    <w:p>
      <w:pPr>
        <w:pStyle w:val="16"/>
        <w:rPr>
          <w:rFonts w:ascii="宋体" w:hAnsi="宋体" w:eastAsia="宋体"/>
          <w:color w:val="auto"/>
        </w:rPr>
      </w:pPr>
      <w:r>
        <w:rPr>
          <w:rFonts w:hint="eastAsia" w:ascii="宋体" w:hAnsi="宋体" w:eastAsia="宋体"/>
          <w:color w:val="auto"/>
        </w:rPr>
        <w:t>1、参赛作品文档材料</w:t>
      </w:r>
    </w:p>
    <w:p>
      <w:pPr>
        <w:pStyle w:val="16"/>
        <w:ind w:firstLine="480"/>
        <w:rPr>
          <w:rFonts w:ascii="宋体" w:hAnsi="宋体" w:eastAsia="宋体"/>
          <w:color w:val="auto"/>
        </w:rPr>
      </w:pPr>
      <w:r>
        <w:rPr>
          <w:rFonts w:hint="eastAsia" w:ascii="宋体" w:hAnsi="宋体" w:eastAsia="宋体"/>
          <w:color w:val="auto"/>
        </w:rPr>
        <w:t>所有文档材料均要求规范、简明、完整、朴实，以PDF格式提交，每个文件大小不超过100M。</w:t>
      </w:r>
    </w:p>
    <w:p>
      <w:pPr>
        <w:pStyle w:val="16"/>
        <w:ind w:firstLine="480"/>
        <w:rPr>
          <w:rFonts w:ascii="宋体" w:hAnsi="宋体" w:eastAsia="宋体"/>
          <w:color w:val="auto"/>
        </w:rPr>
      </w:pPr>
      <w:r>
        <w:rPr>
          <w:rFonts w:hint="eastAsia" w:ascii="宋体" w:hAnsi="宋体" w:eastAsia="宋体"/>
          <w:color w:val="auto"/>
        </w:rPr>
        <w:t>1.1 参赛教案</w:t>
      </w:r>
    </w:p>
    <w:p>
      <w:pPr>
        <w:pStyle w:val="16"/>
        <w:ind w:firstLine="480"/>
        <w:rPr>
          <w:rFonts w:ascii="宋体" w:hAnsi="宋体" w:eastAsia="宋体"/>
          <w:color w:val="auto"/>
        </w:rPr>
      </w:pPr>
      <w:r>
        <w:rPr>
          <w:rFonts w:hint="eastAsia" w:ascii="宋体" w:hAnsi="宋体" w:eastAsia="宋体"/>
          <w:color w:val="auto"/>
        </w:rPr>
        <w:t>教学团队根据提交的专业人才培养方案和课程标准，选取该课程在一个学期中符合规定的教学任务作为参赛作品，撰写实际使用的教案。教案应包括授课信息、任务目标、学情分析、活动安排、课后反思等教学基本要素，设 计合理、重点突出、规范完整、详略得当，能够有效指导教学活动的实施，应当侧重体现具体的教学内容和过程安排。原则上每份教案的教学内容不超过2学时，实践性教学环节的教学内容可以不超过4学时。每件参赛作品的全部教案按序逐一标明序号，合并为一个文件提交。</w:t>
      </w:r>
    </w:p>
    <w:p>
      <w:pPr>
        <w:pStyle w:val="16"/>
        <w:ind w:firstLine="480"/>
        <w:rPr>
          <w:rFonts w:ascii="宋体" w:hAnsi="宋体" w:eastAsia="宋体"/>
          <w:color w:val="auto"/>
        </w:rPr>
      </w:pPr>
      <w:r>
        <w:rPr>
          <w:rFonts w:hint="eastAsia" w:ascii="宋体" w:hAnsi="宋体" w:eastAsia="宋体"/>
          <w:color w:val="auto"/>
        </w:rPr>
        <w:t>1.2 教学实施报告</w:t>
      </w:r>
    </w:p>
    <w:p>
      <w:pPr>
        <w:pStyle w:val="16"/>
        <w:ind w:firstLine="480"/>
        <w:rPr>
          <w:rFonts w:ascii="宋体" w:hAnsi="宋体" w:eastAsia="宋体"/>
          <w:color w:val="auto"/>
        </w:rPr>
      </w:pPr>
      <w:r>
        <w:rPr>
          <w:rFonts w:hint="eastAsia" w:ascii="宋体" w:hAnsi="宋体" w:eastAsia="宋体"/>
          <w:color w:val="auto"/>
        </w:rPr>
        <w:t>教学团队在完成教学设 计和实施之后，撰写1份教学实施报告。报告应梳理总结参赛作品的教学整体设 计、教学实施过程、学习效果、反思改进等方面情况，突出重点和特色，突出疫情防控期间线上教学的创新举措和成效，可用图表加以佐证。中文字符在5000字以内，插入的图表应有针对性、有效性，一般不超过12张。</w:t>
      </w:r>
    </w:p>
    <w:p>
      <w:pPr>
        <w:pStyle w:val="16"/>
        <w:ind w:firstLine="480"/>
        <w:rPr>
          <w:rFonts w:ascii="宋体" w:hAnsi="宋体" w:eastAsia="宋体"/>
          <w:color w:val="auto"/>
        </w:rPr>
      </w:pPr>
      <w:r>
        <w:rPr>
          <w:rFonts w:hint="eastAsia" w:ascii="宋体" w:hAnsi="宋体" w:eastAsia="宋体"/>
          <w:color w:val="auto"/>
        </w:rPr>
        <w:t>1.3 专业人才培养方案</w:t>
      </w:r>
    </w:p>
    <w:p>
      <w:pPr>
        <w:pStyle w:val="16"/>
        <w:ind w:firstLine="480"/>
        <w:rPr>
          <w:rFonts w:ascii="宋体" w:hAnsi="宋体" w:eastAsia="宋体"/>
        </w:rPr>
      </w:pPr>
      <w:r>
        <w:rPr>
          <w:rFonts w:hint="eastAsia" w:ascii="宋体" w:hAnsi="宋体" w:eastAsia="宋体"/>
          <w:color w:val="auto"/>
        </w:rPr>
        <w:t>教学团队提交学校实际使用的专业人才培养方案。专业人才培养方案应按照《教育部关于职业院校专业人才培养方案制订与实施工作的指导意见》和《关于组织做好职业院校专业人才培养</w:t>
      </w:r>
      <w:r>
        <w:rPr>
          <w:rFonts w:hint="eastAsia" w:ascii="宋体" w:hAnsi="宋体" w:eastAsia="宋体"/>
        </w:rPr>
        <w:t>方案制订与实施工作的通知》有关要求修订完善。参赛内容为公共基础课程的，只需提交实际开设该课程的其中一个专业的人才培养方案；跨校组建的教学团队，只需提交团队负责人所在学校的专业人才培养方案。</w:t>
      </w:r>
    </w:p>
    <w:p>
      <w:pPr>
        <w:pStyle w:val="16"/>
        <w:ind w:firstLine="480"/>
        <w:rPr>
          <w:rFonts w:ascii="宋体" w:hAnsi="宋体" w:eastAsia="宋体"/>
        </w:rPr>
      </w:pPr>
      <w:r>
        <w:rPr>
          <w:rFonts w:hint="eastAsia" w:ascii="宋体" w:hAnsi="宋体" w:eastAsia="宋体"/>
        </w:rPr>
        <w:t>1.4 课程标准</w:t>
      </w:r>
    </w:p>
    <w:p>
      <w:pPr>
        <w:pStyle w:val="16"/>
        <w:ind w:firstLine="480"/>
        <w:rPr>
          <w:rFonts w:ascii="宋体" w:hAnsi="宋体" w:eastAsia="宋体"/>
        </w:rPr>
      </w:pPr>
      <w:r>
        <w:rPr>
          <w:rFonts w:hint="eastAsia" w:ascii="宋体" w:hAnsi="宋体" w:eastAsia="宋体"/>
        </w:rPr>
        <w:t>教学团队提交参赛作品实际使用的课程标准。课程标准应按照专业人才培养方案，依据职业教育国家教学标准体系中的相关标准要求，科学、规范制定，说明课程性质与任务、课程要求与目标、课程结构、课程内容、课程实施以及时间进度安排等。多个授课班级只需提交其中一份课程标准；跨校组建的教学团队，只需提交团队负责人所在学校的课程标准。</w:t>
      </w:r>
    </w:p>
    <w:p>
      <w:pPr>
        <w:pStyle w:val="16"/>
        <w:rPr>
          <w:rFonts w:ascii="宋体" w:hAnsi="宋体" w:eastAsia="宋体"/>
        </w:rPr>
      </w:pPr>
      <w:r>
        <w:rPr>
          <w:rFonts w:hint="eastAsia" w:ascii="宋体" w:hAnsi="宋体" w:eastAsia="宋体"/>
        </w:rPr>
        <w:t>2、参赛作品视频材料</w:t>
      </w:r>
    </w:p>
    <w:p>
      <w:pPr>
        <w:pStyle w:val="16"/>
        <w:ind w:firstLine="480"/>
        <w:rPr>
          <w:rFonts w:hint="eastAsia" w:ascii="宋体" w:hAnsi="宋体" w:eastAsia="宋体"/>
        </w:rPr>
      </w:pPr>
      <w:r>
        <w:rPr>
          <w:rFonts w:hint="eastAsia" w:ascii="宋体" w:hAnsi="宋体" w:eastAsia="宋体"/>
        </w:rPr>
        <w:t>教学团队成员按照教学设计实施课堂教学 (或专周实习实训</w:t>
      </w:r>
      <w:r>
        <w:rPr>
          <w:rFonts w:hint="default" w:ascii="宋体" w:hAnsi="宋体" w:eastAsia="宋体"/>
        </w:rPr>
        <w:t>、</w:t>
      </w:r>
      <w:r>
        <w:rPr>
          <w:rFonts w:hint="eastAsia" w:ascii="宋体" w:hAnsi="宋体" w:eastAsia="宋体"/>
        </w:rPr>
        <w:t>岗位实习教学) ，团队负责人录制 1 学时 (40-50 分钟) 课堂教学 实录</w:t>
      </w:r>
      <w:r>
        <w:rPr>
          <w:rFonts w:hint="default" w:ascii="宋体" w:hAnsi="宋体" w:eastAsia="宋体"/>
        </w:rPr>
        <w:t>，</w:t>
      </w:r>
      <w:r>
        <w:rPr>
          <w:rFonts w:hint="eastAsia" w:ascii="宋体" w:hAnsi="宋体" w:eastAsia="宋体"/>
        </w:rPr>
        <w:t>团队其他教师各录制 1 段 8-15 分钟课堂教学片断视频。课 堂教学应在实际教学场所、班级全体学生参加拍摄 (镜头移动能看 到全班学生，实施分班教学需有说明) 。课堂教学视频应呈现参赛 内容相对独立完整</w:t>
      </w:r>
      <w:r>
        <w:rPr>
          <w:rFonts w:hint="default" w:ascii="宋体" w:hAnsi="宋体" w:eastAsia="宋体"/>
        </w:rPr>
        <w:t>、</w:t>
      </w:r>
      <w:r>
        <w:rPr>
          <w:rFonts w:hint="eastAsia" w:ascii="宋体" w:hAnsi="宋体" w:eastAsia="宋体"/>
        </w:rPr>
        <w:t>课程属性特质鲜明、反映团队成员教学风格的 教学活动实况，避免摆拍和包装</w:t>
      </w:r>
      <w:r>
        <w:rPr>
          <w:rFonts w:hint="default" w:ascii="宋体" w:hAnsi="宋体" w:eastAsia="宋体"/>
        </w:rPr>
        <w:t>。</w:t>
      </w:r>
      <w:r>
        <w:rPr>
          <w:rFonts w:hint="eastAsia" w:ascii="宋体" w:hAnsi="宋体" w:eastAsia="宋体"/>
        </w:rPr>
        <w:t>专业 (技能) 课程二组至少有 2 个视频呈现教师实际操作、示范讲解教学。根据疫情防控要求居家 线上教学的，应真实呈现线上教学情况。</w:t>
      </w:r>
    </w:p>
    <w:p>
      <w:pPr>
        <w:pStyle w:val="16"/>
        <w:ind w:firstLine="480"/>
        <w:rPr>
          <w:rFonts w:hint="eastAsia" w:ascii="宋体" w:hAnsi="宋体" w:eastAsia="宋体"/>
        </w:rPr>
      </w:pPr>
      <w:r>
        <w:rPr>
          <w:rFonts w:hint="eastAsia" w:ascii="宋体" w:hAnsi="宋体" w:eastAsia="宋体"/>
        </w:rPr>
        <w:t>课堂实录视频须采用单机方式全程连续录制，镜头可移动、景 别可调整，不得片面追求拍摄效果，不得另行剪辑及配音，不加片 头片尾、字幕注解。采用 MP4 格式封装，1 学时视频文件大小不超 过 1G，15 分钟以内教学片断文件大小不超过 300M。每段视频文件 以 “教案序号+教学活动名称”来命名。</w:t>
      </w:r>
    </w:p>
    <w:p>
      <w:pPr>
        <w:pStyle w:val="16"/>
        <w:rPr>
          <w:rFonts w:hint="eastAsia" w:ascii="宋体" w:hAnsi="宋体" w:eastAsia="宋体"/>
          <w:b/>
          <w:bCs/>
        </w:rPr>
      </w:pPr>
      <w:r>
        <w:rPr>
          <w:rFonts w:hint="default" w:ascii="宋体" w:hAnsi="宋体" w:eastAsia="宋体"/>
          <w:b/>
          <w:bCs/>
        </w:rPr>
        <w:t>（</w:t>
      </w:r>
      <w:r>
        <w:rPr>
          <w:rFonts w:hint="eastAsia" w:ascii="宋体" w:hAnsi="宋体" w:eastAsia="宋体"/>
          <w:b/>
          <w:bCs/>
          <w:lang w:val="en-US" w:eastAsia="zh-Hans"/>
        </w:rPr>
        <w:t>要求供应商提供</w:t>
      </w:r>
      <w:r>
        <w:rPr>
          <w:rFonts w:hint="default" w:ascii="宋体" w:hAnsi="宋体" w:eastAsia="宋体"/>
          <w:b/>
          <w:bCs/>
          <w:lang w:eastAsia="zh-Hans"/>
        </w:rPr>
        <w:t>2019</w:t>
      </w:r>
      <w:r>
        <w:rPr>
          <w:rFonts w:hint="eastAsia" w:ascii="宋体" w:hAnsi="宋体" w:eastAsia="宋体"/>
          <w:b/>
          <w:bCs/>
          <w:lang w:val="en-US" w:eastAsia="zh-Hans"/>
        </w:rPr>
        <w:t>年以来荣获全国职业院校教师教学能力大赛一等奖的相关视频案例</w:t>
      </w:r>
      <w:r>
        <w:rPr>
          <w:rFonts w:hint="default" w:ascii="宋体" w:hAnsi="宋体" w:eastAsia="宋体"/>
          <w:b/>
          <w:bCs/>
          <w:lang w:eastAsia="zh-Hans"/>
        </w:rPr>
        <w:t>）</w:t>
      </w:r>
    </w:p>
    <w:p>
      <w:pPr>
        <w:pStyle w:val="16"/>
        <w:rPr>
          <w:rFonts w:ascii="宋体" w:hAnsi="宋体" w:eastAsia="宋体"/>
        </w:rPr>
      </w:pPr>
      <w:r>
        <w:rPr>
          <w:rFonts w:ascii="宋体" w:hAnsi="宋体" w:eastAsia="宋体"/>
        </w:rPr>
        <w:t>3</w:t>
      </w:r>
      <w:r>
        <w:rPr>
          <w:rFonts w:hint="eastAsia" w:ascii="宋体" w:hAnsi="宋体" w:eastAsia="宋体"/>
          <w:lang w:eastAsia="zh-Hans"/>
        </w:rPr>
        <w:t>.</w:t>
      </w:r>
      <w:r>
        <w:rPr>
          <w:rFonts w:hint="eastAsia" w:ascii="宋体" w:hAnsi="宋体" w:eastAsia="宋体"/>
        </w:rPr>
        <w:t>教学互动平台技术要求</w:t>
      </w:r>
    </w:p>
    <w:p>
      <w:pPr>
        <w:pStyle w:val="16"/>
        <w:ind w:firstLine="480"/>
        <w:rPr>
          <w:rFonts w:ascii="宋体" w:hAnsi="宋体" w:eastAsia="宋体"/>
        </w:rPr>
      </w:pPr>
      <w:r>
        <w:rPr>
          <w:rFonts w:ascii="宋体" w:hAnsi="宋体" w:eastAsia="宋体"/>
        </w:rPr>
        <w:t>本</w:t>
      </w:r>
      <w:r>
        <w:rPr>
          <w:rFonts w:hint="eastAsia" w:ascii="宋体" w:hAnsi="宋体" w:eastAsia="宋体"/>
          <w:lang w:eastAsia="zh-Hans"/>
        </w:rPr>
        <w:t>次大赛需要提供基于项目制教学的</w:t>
      </w:r>
      <w:r>
        <w:rPr>
          <w:rFonts w:ascii="宋体" w:hAnsi="宋体" w:eastAsia="宋体"/>
        </w:rPr>
        <w:t>课程，</w:t>
      </w:r>
      <w:r>
        <w:rPr>
          <w:rFonts w:ascii="宋体" w:hAnsi="宋体" w:eastAsia="宋体"/>
          <w:lang w:val="en-US" w:eastAsia="zh-CN"/>
        </w:rPr>
        <w:t>通过运动数据采集与应用、技战术分析、影像的纠错教学指导、专项技能测评为体育教育提供科学支撑</w:t>
      </w:r>
      <w:r>
        <w:rPr>
          <w:rFonts w:ascii="宋体" w:hAnsi="宋体" w:eastAsia="宋体"/>
          <w:lang w:eastAsia="zh-CN"/>
        </w:rPr>
        <w:t>。</w:t>
      </w:r>
      <w:r>
        <w:rPr>
          <w:rFonts w:ascii="宋体" w:hAnsi="宋体" w:eastAsia="宋体"/>
        </w:rPr>
        <w:t>须包含</w:t>
      </w:r>
      <w:r>
        <w:rPr>
          <w:rFonts w:hint="eastAsia" w:ascii="宋体" w:hAnsi="宋体" w:eastAsia="宋体"/>
          <w:lang w:val="en-US" w:eastAsia="zh-Hans"/>
        </w:rPr>
        <w:t>至少</w:t>
      </w:r>
      <w:r>
        <w:rPr>
          <w:rFonts w:ascii="宋体" w:hAnsi="宋体" w:eastAsia="宋体"/>
        </w:rPr>
        <w:t>12学时的知识点，内容为图文、PPT、视频等形式，在线课程的课程主页须包含以下内容展示：</w:t>
      </w:r>
    </w:p>
    <w:p>
      <w:pPr>
        <w:pStyle w:val="16"/>
        <w:ind w:firstLine="480"/>
        <w:rPr>
          <w:rFonts w:hint="eastAsia"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w:t>
      </w:r>
      <w:r>
        <w:rPr>
          <w:rFonts w:hint="eastAsia" w:ascii="宋体" w:hAnsi="宋体" w:eastAsia="宋体"/>
          <w:lang w:val="en-US" w:eastAsia="zh-CN"/>
        </w:rPr>
        <w:t>通过</w:t>
      </w:r>
      <w:r>
        <w:rPr>
          <w:rFonts w:hint="eastAsia" w:ascii="宋体" w:hAnsi="宋体" w:eastAsia="宋体"/>
          <w:lang w:val="en-US" w:eastAsia="zh-Hans"/>
        </w:rPr>
        <w:t>专业的运动穿戴设备</w:t>
      </w:r>
      <w:r>
        <w:rPr>
          <w:rFonts w:hint="default" w:ascii="宋体" w:hAnsi="宋体" w:eastAsia="宋体"/>
          <w:lang w:eastAsia="zh-Hans"/>
        </w:rPr>
        <w:t>，</w:t>
      </w:r>
      <w:r>
        <w:rPr>
          <w:rFonts w:hint="eastAsia" w:ascii="宋体" w:hAnsi="宋体" w:eastAsia="宋体"/>
          <w:lang w:val="en-US" w:eastAsia="zh-Hans"/>
        </w:rPr>
        <w:t>数量满足上课师生使用</w:t>
      </w:r>
      <w:r>
        <w:rPr>
          <w:rFonts w:hint="default" w:ascii="宋体" w:hAnsi="宋体" w:eastAsia="宋体"/>
          <w:lang w:eastAsia="zh-Hans"/>
        </w:rPr>
        <w:t>。</w:t>
      </w:r>
      <w:r>
        <w:rPr>
          <w:rFonts w:hint="eastAsia" w:ascii="宋体" w:hAnsi="宋体" w:eastAsia="宋体"/>
          <w:lang w:val="en-US" w:eastAsia="zh-CN"/>
        </w:rPr>
        <w:t>运动数据采集与应用、技战术分析、影像的纠错教学指导、专项技能测评为体育教育提供科学支撑</w:t>
      </w:r>
    </w:p>
    <w:p>
      <w:pPr>
        <w:pStyle w:val="16"/>
        <w:ind w:firstLine="480"/>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）教学资源管理</w:t>
      </w:r>
    </w:p>
    <w:p>
      <w:pPr>
        <w:pStyle w:val="16"/>
        <w:ind w:firstLine="480"/>
        <w:rPr>
          <w:rFonts w:ascii="宋体" w:hAnsi="宋体" w:eastAsia="宋体"/>
        </w:rPr>
      </w:pPr>
      <w:r>
        <w:rPr>
          <w:rFonts w:ascii="宋体" w:hAnsi="宋体" w:eastAsia="宋体"/>
        </w:rPr>
        <w:t>1）</w:t>
      </w:r>
      <w:r>
        <w:rPr>
          <w:rFonts w:hint="eastAsia" w:ascii="宋体" w:hAnsi="宋体" w:eastAsia="宋体"/>
        </w:rPr>
        <w:t>教师可以对自己所负责的课程的资料进行管理，建立课程文件的目录层级，并可灵活将教学资料在各目录中拖放，同时教师可以根据课程需要，赋予一人或多人一定权限，共同参于课程资源建设，即委派角色。</w:t>
      </w:r>
    </w:p>
    <w:p>
      <w:pPr>
        <w:pStyle w:val="16"/>
        <w:ind w:firstLine="480"/>
        <w:rPr>
          <w:rFonts w:ascii="宋体" w:hAnsi="宋体" w:eastAsia="宋体"/>
        </w:rPr>
      </w:pPr>
      <w:r>
        <w:rPr>
          <w:rFonts w:ascii="宋体" w:hAnsi="宋体" w:eastAsia="宋体"/>
        </w:rPr>
        <w:t>2</w:t>
      </w:r>
      <w:r>
        <w:rPr>
          <w:rFonts w:hint="eastAsia" w:ascii="宋体" w:hAnsi="宋体" w:eastAsia="宋体"/>
        </w:rPr>
        <w:t>）教师可以从备课资源库中查找并添加课程相关的教学参考书，推荐给学生直接进行在线阅读</w:t>
      </w:r>
    </w:p>
    <w:p>
      <w:pPr>
        <w:pStyle w:val="16"/>
        <w:ind w:firstLine="480"/>
        <w:rPr>
          <w:rFonts w:ascii="宋体" w:hAnsi="宋体" w:eastAsia="宋体"/>
        </w:rPr>
      </w:pPr>
      <w:r>
        <w:rPr>
          <w:rFonts w:ascii="宋体" w:hAnsi="宋体" w:eastAsia="宋体"/>
        </w:rPr>
        <w:t>3</w:t>
      </w:r>
      <w:r>
        <w:rPr>
          <w:rFonts w:hint="eastAsia" w:ascii="宋体" w:hAnsi="宋体" w:eastAsia="宋体"/>
        </w:rPr>
        <w:t>）教师可以从备课资源库中查找并添加课程相关的学术视频，推荐给学生直接进行在线观看。</w:t>
      </w:r>
    </w:p>
    <w:p>
      <w:pPr>
        <w:pStyle w:val="16"/>
        <w:ind w:firstLine="480"/>
        <w:rPr>
          <w:rFonts w:ascii="宋体" w:hAnsi="宋体" w:eastAsia="宋体"/>
        </w:rPr>
      </w:pPr>
      <w:r>
        <w:rPr>
          <w:rFonts w:ascii="宋体" w:hAnsi="宋体" w:eastAsia="宋体"/>
        </w:rPr>
        <w:t>4</w:t>
      </w:r>
      <w:r>
        <w:rPr>
          <w:rFonts w:hint="eastAsia" w:ascii="宋体" w:hAnsi="宋体" w:eastAsia="宋体"/>
        </w:rPr>
        <w:t>）教师可以创建课程试题库，对试题库进行管理，包括添加、修改、删除、查询、浏览等功能。题型包括单选、多选、判断、简答、填空等，题的属性包括类别、难度系数、适用层级等。</w:t>
      </w:r>
    </w:p>
    <w:p>
      <w:pPr>
        <w:pStyle w:val="16"/>
        <w:ind w:firstLine="480"/>
        <w:rPr>
          <w:rFonts w:ascii="宋体" w:hAnsi="宋体" w:eastAsia="宋体"/>
        </w:rPr>
      </w:pPr>
      <w:r>
        <w:rPr>
          <w:rFonts w:ascii="宋体" w:hAnsi="宋体" w:eastAsia="宋体"/>
        </w:rPr>
        <w:t>5</w:t>
      </w:r>
      <w:r>
        <w:rPr>
          <w:rFonts w:hint="eastAsia" w:ascii="宋体" w:hAnsi="宋体" w:eastAsia="宋体"/>
        </w:rPr>
        <w:t>）提供教师备课资源库的使用服务，至少包含</w:t>
      </w:r>
      <w:r>
        <w:rPr>
          <w:rFonts w:ascii="宋体" w:hAnsi="宋体" w:eastAsia="宋体"/>
        </w:rPr>
        <w:t>100万种电子书，电子书和学术视频要没有版权问题。</w:t>
      </w:r>
      <w:r>
        <w:rPr>
          <w:rFonts w:hint="eastAsia" w:ascii="宋体" w:hAnsi="宋体" w:eastAsia="宋体"/>
        </w:rPr>
        <w:t>可与</w:t>
      </w:r>
      <w:r>
        <w:rPr>
          <w:rFonts w:hint="eastAsia" w:ascii="宋体" w:hAnsi="宋体" w:eastAsia="宋体"/>
          <w:lang w:eastAsia="zh-Hans"/>
        </w:rPr>
        <w:t>信息化教学</w:t>
      </w:r>
      <w:r>
        <w:rPr>
          <w:rFonts w:hint="eastAsia" w:ascii="宋体" w:hAnsi="宋体" w:eastAsia="宋体"/>
        </w:rPr>
        <w:t>课程进行有效链接和联动，同时在课程体系中，根据需要穿插、调用。</w:t>
      </w:r>
      <w:r>
        <w:rPr>
          <w:rFonts w:hint="eastAsia" w:ascii="宋体" w:hAnsi="宋体" w:eastAsia="宋体"/>
          <w:b/>
        </w:rPr>
        <w:t>（</w:t>
      </w:r>
      <w:r>
        <w:rPr>
          <w:rFonts w:ascii="宋体" w:hAnsi="宋体" w:eastAsia="宋体"/>
          <w:b/>
        </w:rPr>
        <w:t>报价人须提供其所投</w:t>
      </w:r>
      <w:r>
        <w:rPr>
          <w:rFonts w:hint="eastAsia" w:ascii="宋体" w:hAnsi="宋体" w:eastAsia="宋体"/>
          <w:b/>
          <w:lang w:eastAsia="zh-Hans"/>
        </w:rPr>
        <w:t>产品</w:t>
      </w:r>
      <w:r>
        <w:rPr>
          <w:rFonts w:ascii="宋体" w:hAnsi="宋体" w:eastAsia="宋体"/>
          <w:b/>
        </w:rPr>
        <w:t>厂商具备的至少5种以上图书的作者版权证明资料。</w:t>
      </w:r>
      <w:r>
        <w:rPr>
          <w:rFonts w:hint="eastAsia" w:ascii="宋体" w:hAnsi="宋体" w:eastAsia="宋体"/>
          <w:b/>
        </w:rPr>
        <w:t>）</w:t>
      </w:r>
    </w:p>
    <w:p>
      <w:pPr>
        <w:widowControl/>
        <w:jc w:val="left"/>
        <w:rPr>
          <w:rFonts w:ascii="宋体" w:hAnsi="宋体" w:eastAsia="宋体" w:cs="宋体"/>
          <w:b/>
          <w:bCs/>
          <w:color w:val="444444"/>
          <w:kern w:val="0"/>
          <w:sz w:val="24"/>
          <w:szCs w:val="24"/>
        </w:rPr>
      </w:pPr>
    </w:p>
    <w:p>
      <w:pPr>
        <w:pStyle w:val="3"/>
      </w:pPr>
      <w:r>
        <w:rPr>
          <w:rFonts w:hint="eastAsia"/>
        </w:rPr>
        <w:t>四、售后服务</w:t>
      </w:r>
    </w:p>
    <w:p>
      <w:pPr>
        <w:pStyle w:val="16"/>
        <w:ind w:firstLine="480"/>
        <w:rPr>
          <w:rFonts w:ascii="宋体" w:hAnsi="宋体" w:eastAsia="宋体"/>
        </w:rPr>
      </w:pPr>
      <w:r>
        <w:rPr>
          <w:rFonts w:hint="eastAsia" w:ascii="宋体" w:hAnsi="宋体" w:eastAsia="宋体"/>
        </w:rPr>
        <w:t>供应商需提供验收之日起一年或更优的免费售后服务。</w:t>
      </w:r>
    </w:p>
    <w:p>
      <w:pPr>
        <w:pStyle w:val="16"/>
        <w:ind w:firstLine="480"/>
        <w:rPr>
          <w:rFonts w:ascii="宋体" w:hAnsi="宋体" w:eastAsia="宋体"/>
        </w:rPr>
      </w:pPr>
      <w:r>
        <w:rPr>
          <w:rFonts w:hint="eastAsia" w:ascii="宋体" w:hAnsi="宋体" w:eastAsia="宋体"/>
        </w:rPr>
        <w:t>提供7*24小时服务电话热线，同时也提供持术支持服务直拨热线。如电话服务不能解决的，中标人需在24小时内指派专业人员上门服务</w:t>
      </w:r>
      <w:r>
        <w:rPr>
          <w:rFonts w:ascii="宋体" w:hAnsi="宋体" w:eastAsia="宋体"/>
        </w:rPr>
        <w:t>。</w:t>
      </w:r>
    </w:p>
    <w:p>
      <w:pPr>
        <w:pStyle w:val="3"/>
        <w:rPr>
          <w:kern w:val="0"/>
        </w:rPr>
      </w:pPr>
      <w:r>
        <w:rPr>
          <w:rFonts w:hint="eastAsia"/>
          <w:lang w:eastAsia="zh-Hans"/>
        </w:rPr>
        <w:t>五</w:t>
      </w:r>
      <w:r>
        <w:rPr>
          <w:rFonts w:hint="eastAsia"/>
        </w:rPr>
        <w:t>、</w:t>
      </w:r>
      <w:r>
        <w:rPr>
          <w:rFonts w:hint="eastAsia"/>
          <w:lang w:eastAsia="zh-Hans"/>
        </w:rPr>
        <w:t>支付比例</w:t>
      </w:r>
    </w:p>
    <w:tbl>
      <w:tblPr>
        <w:tblStyle w:val="8"/>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FZFangSong-Z02S"/>
                <w:color w:val="000000"/>
                <w:kern w:val="0"/>
                <w:sz w:val="24"/>
                <w:szCs w:val="24"/>
              </w:rPr>
            </w:pPr>
            <w:r>
              <w:rPr>
                <w:rFonts w:hint="eastAsia" w:ascii="宋体" w:hAnsi="宋体" w:eastAsia="宋体" w:cs="FZFangSong-Z02S"/>
                <w:color w:val="000000"/>
                <w:kern w:val="0"/>
                <w:sz w:val="24"/>
                <w:szCs w:val="24"/>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FZFangSong-Z02S"/>
                <w:color w:val="000000"/>
                <w:kern w:val="0"/>
                <w:sz w:val="24"/>
                <w:szCs w:val="24"/>
              </w:rPr>
            </w:pPr>
            <w:r>
              <w:rPr>
                <w:rFonts w:hint="eastAsia" w:ascii="宋体" w:hAnsi="宋体" w:eastAsia="宋体" w:cs="FZFangSong-Z02S"/>
                <w:color w:val="000000"/>
                <w:kern w:val="0"/>
                <w:sz w:val="24"/>
                <w:szCs w:val="24"/>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FZFangSong-Z02S"/>
                <w:color w:val="000000"/>
                <w:kern w:val="0"/>
                <w:sz w:val="24"/>
                <w:szCs w:val="24"/>
              </w:rPr>
            </w:pPr>
            <w:r>
              <w:rPr>
                <w:rFonts w:hint="eastAsia" w:ascii="宋体" w:hAnsi="宋体" w:eastAsia="宋体" w:cs="FZFangSong-Z02S"/>
                <w:color w:val="000000"/>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FZFangSong-Z02S"/>
                <w:color w:val="000000"/>
                <w:kern w:val="0"/>
                <w:sz w:val="24"/>
                <w:szCs w:val="24"/>
              </w:rPr>
            </w:pPr>
            <w:r>
              <w:rPr>
                <w:rFonts w:hint="eastAsia" w:ascii="宋体" w:hAnsi="宋体" w:eastAsia="宋体" w:cs="FZFangSong-Z02S"/>
                <w:color w:val="000000"/>
                <w:kern w:val="0"/>
                <w:sz w:val="24"/>
                <w:szCs w:val="24"/>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FZFangSong-Z02S"/>
                <w:color w:val="000000"/>
                <w:kern w:val="0"/>
                <w:sz w:val="24"/>
                <w:szCs w:val="24"/>
              </w:rPr>
            </w:pPr>
            <w:r>
              <w:rPr>
                <w:rFonts w:hint="eastAsia" w:ascii="宋体" w:hAnsi="宋体" w:eastAsia="宋体" w:cs="FZFangSong-Z02S"/>
                <w:color w:val="000000"/>
                <w:kern w:val="0"/>
                <w:sz w:val="24"/>
                <w:szCs w:val="24"/>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eastAsia="宋体" w:cs="FZFangSong-Z02S"/>
                <w:color w:val="000000"/>
                <w:kern w:val="0"/>
                <w:sz w:val="24"/>
                <w:szCs w:val="24"/>
                <w:lang w:val="en-US" w:eastAsia="zh-CN"/>
              </w:rPr>
            </w:pPr>
            <w:r>
              <w:rPr>
                <w:rFonts w:hint="eastAsia" w:ascii="宋体" w:hAnsi="宋体" w:eastAsia="宋体" w:cs="FZFangSong-Z02S"/>
                <w:color w:val="000000"/>
                <w:kern w:val="0"/>
                <w:sz w:val="24"/>
                <w:szCs w:val="24"/>
                <w:lang w:val="en-US" w:eastAsia="zh-CN"/>
              </w:rPr>
              <w:t>项目完成后经验收合格，按合同规定支付相关费用</w:t>
            </w:r>
          </w:p>
        </w:tc>
      </w:tr>
    </w:tbl>
    <w:p>
      <w:pPr>
        <w:pStyle w:val="16"/>
        <w:rPr>
          <w:rFonts w:ascii="宋体" w:hAnsi="宋体" w:eastAsia="宋体"/>
        </w:rPr>
      </w:pPr>
    </w:p>
    <w:p>
      <w:pPr>
        <w:pStyle w:val="3"/>
        <w:rPr>
          <w:rFonts w:hint="eastAsia"/>
          <w:color w:val="auto"/>
          <w:lang w:eastAsia="zh-CN"/>
        </w:rPr>
      </w:pPr>
      <w:r>
        <w:rPr>
          <w:rFonts w:hint="eastAsia"/>
          <w:color w:val="auto"/>
          <w:lang w:eastAsia="zh-CN"/>
        </w:rPr>
        <w:t>六、交付时间</w:t>
      </w:r>
    </w:p>
    <w:p>
      <w:pPr>
        <w:pStyle w:val="16"/>
        <w:ind w:firstLine="480"/>
        <w:rPr>
          <w:rFonts w:hint="eastAsia" w:ascii="宋体" w:hAnsi="宋体" w:eastAsia="宋体"/>
          <w:color w:val="auto"/>
        </w:rPr>
      </w:pPr>
      <w:r>
        <w:rPr>
          <w:rFonts w:hint="eastAsia" w:ascii="宋体" w:hAnsi="宋体" w:eastAsia="宋体"/>
          <w:color w:val="auto"/>
          <w:lang w:val="en-US" w:eastAsia="zh-CN"/>
        </w:rPr>
        <w:t>供应商确定后10个工作日内</w:t>
      </w:r>
      <w:r>
        <w:rPr>
          <w:rFonts w:hint="eastAsia" w:ascii="宋体" w:hAnsi="宋体" w:eastAsia="宋体"/>
          <w:color w:val="auto"/>
        </w:rPr>
        <w:t>完成相关各项指导及技术服务。</w:t>
      </w:r>
    </w:p>
    <w:p>
      <w:pPr>
        <w:pStyle w:val="16"/>
        <w:numPr>
          <w:ilvl w:val="0"/>
          <w:numId w:val="0"/>
        </w:numPr>
        <w:rPr>
          <w:rFonts w:hint="eastAsia" w:ascii="宋体" w:hAnsi="宋体" w:eastAsia="宋体"/>
          <w:color w:val="auto"/>
          <w:lang w:eastAsia="zh-CN"/>
        </w:rPr>
      </w:pPr>
      <w:bookmarkStart w:id="0" w:name="_GoBack"/>
      <w:bookmarkEnd w:id="0"/>
    </w:p>
    <w:p>
      <w:pPr>
        <w:pStyle w:val="16"/>
        <w:ind w:firstLine="480"/>
        <w:rPr>
          <w:rFonts w:ascii="宋体" w:hAnsi="宋体" w:eastAsia="宋体"/>
          <w:color w:val="auto"/>
        </w:rPr>
      </w:pPr>
    </w:p>
    <w:p>
      <w:pPr>
        <w:pStyle w:val="3"/>
        <w:rPr>
          <w:rFonts w:hint="eastAsia"/>
          <w:color w:val="auto"/>
          <w:lang w:eastAsia="zh-CN"/>
        </w:rPr>
      </w:pPr>
      <w:r>
        <w:rPr>
          <w:rFonts w:hint="eastAsia"/>
          <w:color w:val="auto"/>
          <w:lang w:eastAsia="zh-CN"/>
        </w:rPr>
        <w:t>七、权利和义务</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1.对于因为无法及时给予指导意见影响最终作品质量，参赛教师有权提出补救要求，供货方应在补救时间内予以补救完善；</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2.供货方必须在保证作品质量的原则下，按照文字稿本创作对进行作品提出意见建议，如出现质量问题，供货方应采取相应补救措施；</w:t>
      </w:r>
    </w:p>
    <w:p>
      <w:pPr>
        <w:spacing w:line="360" w:lineRule="auto"/>
        <w:ind w:firstLine="560" w:firstLineChars="200"/>
        <w:rPr>
          <w:rFonts w:hint="eastAsia" w:ascii="仿宋" w:hAnsi="仿宋" w:eastAsia="仿宋" w:cs="仿宋"/>
          <w:color w:val="auto"/>
          <w:sz w:val="24"/>
        </w:rPr>
      </w:pPr>
      <w:r>
        <w:rPr>
          <w:rFonts w:hint="eastAsia" w:ascii="仿宋" w:hAnsi="仿宋" w:eastAsia="仿宋" w:cs="仿宋"/>
          <w:color w:val="auto"/>
          <w:sz w:val="28"/>
          <w:szCs w:val="28"/>
        </w:rPr>
        <w:t>3.供货方有义务对于参赛选手提供的相关资料进行保密，不得泄露给第三方，否则需承担所有直接和间接损失。</w:t>
      </w:r>
      <w:r>
        <w:rPr>
          <w:rFonts w:hint="eastAsia" w:ascii="仿宋" w:hAnsi="仿宋" w:eastAsia="仿宋" w:cs="仿宋"/>
          <w:color w:val="auto"/>
          <w:sz w:val="24"/>
        </w:rPr>
        <w:t>　　　</w:t>
      </w:r>
    </w:p>
    <w:p>
      <w:pPr>
        <w:pStyle w:val="2"/>
        <w:rPr>
          <w:rFonts w:hint="eastAsia"/>
        </w:rPr>
      </w:pPr>
    </w:p>
    <w:p>
      <w:pPr>
        <w:pStyle w:val="16"/>
        <w:ind w:firstLine="480"/>
        <w:rPr>
          <w:rFonts w:ascii="宋体" w:hAnsi="宋体" w:eastAsia="宋体"/>
          <w:color w:val="FF0000"/>
        </w:rPr>
      </w:pPr>
    </w:p>
    <w:p>
      <w:pPr>
        <w:pStyle w:val="2"/>
        <w:numPr>
          <w:ilvl w:val="0"/>
          <w:numId w:val="4"/>
        </w:numPr>
        <w:rPr>
          <w:rFonts w:hint="eastAsia" w:ascii="仿宋" w:hAnsi="仿宋" w:eastAsia="仿宋"/>
          <w:b/>
          <w:bCs w:val="0"/>
          <w:sz w:val="32"/>
          <w:szCs w:val="32"/>
          <w:lang w:val="en-US" w:eastAsia="zh-CN"/>
        </w:rPr>
      </w:pPr>
      <w:r>
        <w:rPr>
          <w:rFonts w:hint="eastAsia" w:ascii="仿宋" w:hAnsi="仿宋" w:eastAsia="仿宋"/>
          <w:b/>
          <w:bCs w:val="0"/>
          <w:sz w:val="32"/>
          <w:szCs w:val="32"/>
          <w:lang w:val="en-US" w:eastAsia="zh-CN"/>
        </w:rPr>
        <w:t>其他</w:t>
      </w:r>
    </w:p>
    <w:p>
      <w:pPr>
        <w:numPr>
          <w:ilvl w:val="0"/>
          <w:numId w:val="0"/>
        </w:numPr>
        <w:rPr>
          <w:rFonts w:hint="default"/>
          <w:lang w:val="en-US" w:eastAsia="zh-CN"/>
        </w:rPr>
      </w:pPr>
      <w:r>
        <w:rPr>
          <w:rFonts w:hint="eastAsia"/>
          <w:lang w:val="en-US" w:eastAsia="zh-CN"/>
        </w:rPr>
        <w:t xml:space="preserve">    1、报价</w:t>
      </w:r>
    </w:p>
    <w:tbl>
      <w:tblPr>
        <w:tblStyle w:val="8"/>
        <w:tblW w:w="712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555"/>
        <w:gridCol w:w="1433"/>
        <w:gridCol w:w="1241"/>
        <w:gridCol w:w="1279"/>
        <w:gridCol w:w="1279"/>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892" w:hRule="atLeast"/>
          <w:tblCellSpacing w:w="15" w:type="dxa"/>
        </w:trPr>
        <w:tc>
          <w:tcPr>
            <w:tcW w:w="510" w:type="dxa"/>
            <w:tcBorders>
              <w:top w:val="single" w:color="auto" w:sz="6" w:space="0"/>
              <w:left w:val="single" w:color="auto" w:sz="6" w:space="0"/>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b/>
                <w:kern w:val="0"/>
                <w:sz w:val="24"/>
                <w:lang w:bidi="ar"/>
              </w:rPr>
              <w:t>序号</w:t>
            </w:r>
          </w:p>
        </w:tc>
        <w:tc>
          <w:tcPr>
            <w:tcW w:w="1403"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b/>
                <w:kern w:val="0"/>
                <w:sz w:val="24"/>
                <w:lang w:bidi="ar"/>
              </w:rPr>
              <w:t>项目名称</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kern w:val="0"/>
              </w:rPr>
            </w:pPr>
            <w:r>
              <w:rPr>
                <w:rFonts w:hint="eastAsia" w:ascii="宋体" w:hAnsi="宋体" w:eastAsia="宋体" w:cs="宋体"/>
                <w:b/>
                <w:kern w:val="0"/>
                <w:sz w:val="24"/>
                <w:lang w:bidi="ar"/>
              </w:rPr>
              <w:t>项目内容</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kern w:val="0"/>
              </w:rPr>
            </w:pPr>
            <w:r>
              <w:rPr>
                <w:rFonts w:hint="eastAsia" w:ascii="宋体" w:hAnsi="宋体" w:eastAsia="宋体" w:cs="宋体"/>
                <w:b/>
                <w:kern w:val="0"/>
                <w:sz w:val="24"/>
                <w:lang w:bidi="ar"/>
              </w:rPr>
              <w:t>数量</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kern w:val="0"/>
              </w:rPr>
            </w:pPr>
            <w:r>
              <w:rPr>
                <w:rFonts w:hint="eastAsia" w:ascii="宋体" w:hAnsi="宋体" w:eastAsia="宋体" w:cs="宋体"/>
                <w:b/>
                <w:kern w:val="0"/>
                <w:sz w:val="24"/>
                <w:lang w:bidi="ar"/>
              </w:rPr>
              <w:t>单位</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default" w:ascii="宋体" w:hAnsi="宋体" w:eastAsia="宋体" w:cs="宋体"/>
                <w:kern w:val="0"/>
                <w:lang w:val="en-US" w:eastAsia="zh-CN"/>
              </w:rPr>
            </w:pPr>
            <w:r>
              <w:rPr>
                <w:rFonts w:hint="eastAsia" w:ascii="宋体" w:hAnsi="宋体" w:eastAsia="宋体" w:cs="宋体"/>
                <w:b/>
                <w:kern w:val="0"/>
                <w:sz w:val="24"/>
                <w:lang w:val="en-US" w:eastAsia="zh-CN" w:bidi="ar"/>
              </w:rPr>
              <w:t>报价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1682" w:hRule="atLeast"/>
          <w:tblCellSpacing w:w="15" w:type="dxa"/>
        </w:trPr>
        <w:tc>
          <w:tcPr>
            <w:tcW w:w="510" w:type="dxa"/>
            <w:tcBorders>
              <w:top w:val="single" w:color="auto" w:sz="6" w:space="0"/>
              <w:left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kern w:val="0"/>
                <w:sz w:val="24"/>
                <w:lang w:bidi="ar"/>
              </w:rPr>
              <w:t>1</w:t>
            </w:r>
          </w:p>
        </w:tc>
        <w:tc>
          <w:tcPr>
            <w:tcW w:w="1403" w:type="dxa"/>
            <w:tcBorders>
              <w:top w:val="single" w:color="auto" w:sz="6" w:space="0"/>
              <w:left w:val="nil"/>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2022年职业院校教师教学能力大赛（国赛）综合服务项目</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widowControl/>
              <w:spacing w:before="156" w:beforeLines="50" w:after="156" w:afterLines="50"/>
              <w:jc w:val="center"/>
              <w:rPr>
                <w:rFonts w:hint="eastAsia" w:ascii="宋体" w:hAnsi="宋体" w:eastAsia="宋体"/>
                <w:lang w:val="en-US" w:eastAsia="zh-Hans"/>
              </w:rPr>
            </w:pPr>
          </w:p>
          <w:p>
            <w:pPr>
              <w:widowControl/>
              <w:spacing w:before="156" w:beforeLines="50" w:after="156" w:afterLines="50"/>
              <w:jc w:val="center"/>
              <w:rPr>
                <w:rFonts w:hint="eastAsia" w:ascii="宋体" w:hAnsi="宋体" w:eastAsia="宋体"/>
                <w:lang w:val="en-US" w:eastAsia="zh-Hans"/>
              </w:rPr>
            </w:pPr>
            <w:r>
              <w:rPr>
                <w:rFonts w:hint="default" w:ascii="宋体" w:hAnsi="宋体" w:eastAsia="宋体"/>
                <w:lang w:val="en-US" w:eastAsia="zh-CN"/>
              </w:rPr>
              <w:t>球类移动技术</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1</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项</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eastAsia" w:ascii="宋体" w:hAnsi="宋体" w:eastAsia="宋体"/>
                <w:lang w:val="en-US" w:eastAsia="zh-Hans"/>
              </w:rPr>
            </w:pPr>
          </w:p>
        </w:tc>
      </w:tr>
    </w:tbl>
    <w:p>
      <w:pPr>
        <w:numPr>
          <w:ilvl w:val="0"/>
          <w:numId w:val="0"/>
        </w:numPr>
        <w:rPr>
          <w:rFonts w:hint="default"/>
          <w:lang w:val="en-US" w:eastAsia="zh-CN"/>
        </w:rPr>
      </w:pPr>
    </w:p>
    <w:p>
      <w:pPr>
        <w:numPr>
          <w:ilvl w:val="0"/>
          <w:numId w:val="0"/>
        </w:numPr>
        <w:ind w:firstLine="480" w:firstLineChars="200"/>
        <w:rPr>
          <w:rFonts w:hint="eastAsia" w:ascii="仿宋" w:hAnsi="仿宋" w:eastAsia="仿宋" w:cs="仿宋"/>
          <w:bCs/>
          <w:color w:val="auto"/>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报价密封盖章后有效期内</w:t>
      </w:r>
      <w:r>
        <w:rPr>
          <w:rFonts w:hint="eastAsia" w:ascii="仿宋" w:hAnsi="仿宋" w:eastAsia="仿宋" w:cs="仿宋"/>
          <w:bCs/>
          <w:sz w:val="24"/>
          <w:szCs w:val="24"/>
          <w:lang w:val="en-US" w:eastAsia="zh-CN"/>
        </w:rPr>
        <w:t>可送</w:t>
      </w:r>
      <w:r>
        <w:rPr>
          <w:rFonts w:hint="eastAsia" w:ascii="仿宋" w:hAnsi="仿宋" w:eastAsia="仿宋" w:cs="仿宋"/>
          <w:bCs/>
          <w:sz w:val="24"/>
          <w:szCs w:val="24"/>
        </w:rPr>
        <w:t>送到嘉庚大楼812总务处</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技术联系人</w:t>
      </w:r>
      <w:r>
        <w:rPr>
          <w:rFonts w:hint="eastAsia" w:ascii="仿宋" w:hAnsi="仿宋" w:eastAsia="仿宋" w:cs="仿宋"/>
          <w:bCs/>
          <w:sz w:val="24"/>
          <w:szCs w:val="24"/>
        </w:rPr>
        <w:t>北</w:t>
      </w:r>
      <w:r>
        <w:rPr>
          <w:rFonts w:hint="eastAsia" w:ascii="仿宋" w:hAnsi="仿宋" w:eastAsia="仿宋" w:cs="仿宋"/>
          <w:bCs/>
          <w:sz w:val="24"/>
          <w:szCs w:val="24"/>
          <w:lang w:eastAsia="zh-CN"/>
        </w:rPr>
        <w:t>、</w:t>
      </w:r>
      <w:r>
        <w:rPr>
          <w:rFonts w:hint="eastAsia" w:ascii="仿宋" w:hAnsi="仿宋" w:eastAsia="仿宋" w:cs="仿宋"/>
          <w:bCs/>
          <w:sz w:val="24"/>
          <w:szCs w:val="24"/>
        </w:rPr>
        <w:t>门门岗但</w:t>
      </w:r>
      <w:r>
        <w:rPr>
          <w:rFonts w:hint="eastAsia" w:ascii="仿宋" w:hAnsi="仿宋" w:eastAsia="仿宋" w:cs="仿宋"/>
          <w:bCs/>
          <w:sz w:val="24"/>
          <w:szCs w:val="24"/>
          <w:lang w:eastAsia="zh-CN"/>
        </w:rPr>
        <w:t>（</w:t>
      </w:r>
      <w:r>
        <w:rPr>
          <w:rFonts w:hint="eastAsia" w:ascii="仿宋" w:hAnsi="仿宋" w:eastAsia="仿宋" w:cs="仿宋"/>
          <w:bCs/>
          <w:sz w:val="24"/>
          <w:szCs w:val="24"/>
        </w:rPr>
        <w:t>需提前电话确定联系</w:t>
      </w:r>
      <w:r>
        <w:rPr>
          <w:rFonts w:hint="eastAsia" w:ascii="仿宋" w:hAnsi="仿宋" w:eastAsia="仿宋" w:cs="仿宋"/>
          <w:bCs/>
          <w:sz w:val="24"/>
          <w:szCs w:val="24"/>
          <w:lang w:val="en-US" w:eastAsia="zh-CN"/>
        </w:rPr>
        <w:t>放置点）</w:t>
      </w:r>
      <w:r>
        <w:rPr>
          <w:rFonts w:hint="eastAsia" w:ascii="仿宋" w:hAnsi="仿宋" w:eastAsia="仿宋" w:cs="仿宋"/>
          <w:bCs/>
          <w:sz w:val="24"/>
          <w:szCs w:val="24"/>
        </w:rPr>
        <w:t>，报价有效期至</w:t>
      </w:r>
      <w:r>
        <w:rPr>
          <w:rFonts w:hint="eastAsia" w:ascii="仿宋" w:hAnsi="仿宋" w:eastAsia="仿宋" w:cs="仿宋"/>
          <w:bCs/>
          <w:color w:val="auto"/>
          <w:sz w:val="24"/>
          <w:szCs w:val="24"/>
        </w:rPr>
        <w:t>2022年</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30日上午9点</w:t>
      </w:r>
      <w:r>
        <w:rPr>
          <w:rFonts w:hint="eastAsia" w:ascii="仿宋" w:hAnsi="仿宋" w:eastAsia="仿宋" w:cs="仿宋"/>
          <w:bCs/>
          <w:color w:val="auto"/>
          <w:sz w:val="24"/>
          <w:szCs w:val="24"/>
        </w:rPr>
        <w:t>，报价含税；</w:t>
      </w:r>
    </w:p>
    <w:p>
      <w:pPr>
        <w:numPr>
          <w:ilvl w:val="0"/>
          <w:numId w:val="0"/>
        </w:num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报价文件封口未密封盖章及报价文件封面未写项目内容的全部为无效报价；</w:t>
      </w:r>
      <w:r>
        <w:rPr>
          <w:rFonts w:hint="eastAsia" w:ascii="仿宋" w:hAnsi="仿宋" w:eastAsia="仿宋" w:cs="仿宋"/>
          <w:bCs/>
          <w:sz w:val="24"/>
          <w:szCs w:val="24"/>
          <w:lang w:val="en-US" w:eastAsia="zh-CN"/>
        </w:rPr>
        <w:t xml:space="preserve"> </w:t>
      </w:r>
    </w:p>
    <w:p>
      <w:pPr>
        <w:pStyle w:val="2"/>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4、不接受邮寄报价；</w:t>
      </w:r>
    </w:p>
    <w:p>
      <w:pPr>
        <w:rPr>
          <w:rFonts w:hint="eastAsia" w:ascii="仿宋" w:hAnsi="仿宋" w:eastAsia="仿宋" w:cs="仿宋"/>
          <w:sz w:val="24"/>
          <w:szCs w:val="24"/>
          <w:lang w:val="en-US" w:eastAsia="zh-CN"/>
        </w:rPr>
      </w:pPr>
    </w:p>
    <w:p>
      <w:pPr>
        <w:ind w:firstLine="480" w:firstLineChars="200"/>
        <w:rPr>
          <w:rFonts w:hint="eastAsia" w:ascii="仿宋" w:hAnsi="仿宋" w:eastAsia="仿宋" w:cs="仿宋"/>
          <w:sz w:val="24"/>
          <w:szCs w:val="24"/>
        </w:rPr>
      </w:pPr>
      <w:r>
        <w:rPr>
          <w:rFonts w:hint="eastAsia" w:ascii="仿宋" w:hAnsi="仿宋" w:eastAsia="仿宋" w:cs="仿宋"/>
          <w:bCs/>
          <w:sz w:val="24"/>
          <w:szCs w:val="24"/>
        </w:rPr>
        <w:t>报价单位：</w:t>
      </w:r>
    </w:p>
    <w:p>
      <w:pPr>
        <w:ind w:firstLine="480" w:firstLineChars="200"/>
        <w:rPr>
          <w:rFonts w:hint="eastAsia" w:ascii="仿宋" w:hAnsi="仿宋" w:eastAsia="仿宋" w:cs="仿宋"/>
          <w:sz w:val="24"/>
          <w:szCs w:val="24"/>
        </w:rPr>
      </w:pPr>
      <w:r>
        <w:rPr>
          <w:rFonts w:hint="eastAsia" w:ascii="仿宋" w:hAnsi="仿宋" w:eastAsia="仿宋" w:cs="仿宋"/>
          <w:bCs/>
          <w:sz w:val="24"/>
          <w:szCs w:val="24"/>
        </w:rPr>
        <w:t>联系人：</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联系电话：</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 xml:space="preserve">                                 集美工业学校</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 xml:space="preserve">                            联系人：方维钦  7790922</w:t>
      </w:r>
    </w:p>
    <w:p>
      <w:pPr>
        <w:ind w:firstLine="480" w:firstLineChars="200"/>
        <w:rPr>
          <w:rFonts w:hint="eastAsia" w:ascii="仿宋" w:hAnsi="仿宋" w:eastAsia="仿宋" w:cs="仿宋"/>
          <w:b/>
          <w:bCs w:val="0"/>
          <w:sz w:val="24"/>
          <w:szCs w:val="24"/>
          <w:lang w:val="en-US" w:eastAsia="zh-CN"/>
        </w:rPr>
      </w:pPr>
      <w:r>
        <w:rPr>
          <w:rFonts w:hint="eastAsia" w:ascii="仿宋" w:hAnsi="仿宋" w:eastAsia="仿宋" w:cs="仿宋"/>
          <w:bCs/>
          <w:sz w:val="24"/>
          <w:szCs w:val="24"/>
          <w:lang w:val="en-US" w:eastAsia="zh-CN"/>
        </w:rPr>
        <w:t xml:space="preserve">                          技术联系人：陈老师  138 0605 8936</w:t>
      </w:r>
    </w:p>
    <w:p>
      <w:pPr>
        <w:pStyle w:val="22"/>
        <w:spacing w:line="360" w:lineRule="auto"/>
        <w:ind w:firstLine="4560" w:firstLineChars="1900"/>
        <w:rPr>
          <w:rFonts w:hint="eastAsia"/>
          <w:sz w:val="24"/>
          <w:szCs w:val="24"/>
        </w:rPr>
      </w:pPr>
      <w:r>
        <w:rPr>
          <w:rFonts w:hint="eastAsia" w:ascii="仿宋" w:hAnsi="仿宋" w:eastAsia="仿宋" w:cs="仿宋"/>
          <w:color w:val="000000"/>
          <w:kern w:val="0"/>
          <w:sz w:val="24"/>
          <w:szCs w:val="24"/>
          <w:lang w:val="en-US" w:eastAsia="zh-CN" w:bidi="ar-SA"/>
        </w:rPr>
        <w:t>2022年9月26日</w:t>
      </w:r>
    </w:p>
    <w:p>
      <w:pPr>
        <w:pStyle w:val="16"/>
        <w:ind w:firstLine="480"/>
        <w:rPr>
          <w:rFonts w:ascii="宋体" w:hAnsi="宋体" w:eastAsia="宋体"/>
          <w:color w:val="FF0000"/>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angSong-Z02S">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30587D"/>
    <w:multiLevelType w:val="singleLevel"/>
    <w:tmpl w:val="D430587D"/>
    <w:lvl w:ilvl="0" w:tentative="0">
      <w:start w:val="8"/>
      <w:numFmt w:val="chineseCounting"/>
      <w:suff w:val="nothing"/>
      <w:lvlText w:val="%1、"/>
      <w:lvlJc w:val="left"/>
      <w:rPr>
        <w:rFonts w:hint="eastAsia"/>
      </w:rPr>
    </w:lvl>
  </w:abstractNum>
  <w:abstractNum w:abstractNumId="1">
    <w:nsid w:val="612739E4"/>
    <w:multiLevelType w:val="singleLevel"/>
    <w:tmpl w:val="612739E4"/>
    <w:lvl w:ilvl="0" w:tentative="0">
      <w:start w:val="2"/>
      <w:numFmt w:val="chineseCounting"/>
      <w:suff w:val="nothing"/>
      <w:lvlText w:val="%1、"/>
      <w:lvlJc w:val="left"/>
    </w:lvl>
  </w:abstractNum>
  <w:abstractNum w:abstractNumId="2">
    <w:nsid w:val="61377336"/>
    <w:multiLevelType w:val="singleLevel"/>
    <w:tmpl w:val="61377336"/>
    <w:lvl w:ilvl="0" w:tentative="0">
      <w:start w:val="2"/>
      <w:numFmt w:val="decimal"/>
      <w:suff w:val="nothing"/>
      <w:lvlText w:val="%1."/>
      <w:lvlJc w:val="left"/>
    </w:lvl>
  </w:abstractNum>
  <w:abstractNum w:abstractNumId="3">
    <w:nsid w:val="632435B9"/>
    <w:multiLevelType w:val="singleLevel"/>
    <w:tmpl w:val="632435B9"/>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hMmYyNGQ4YjRlMTlmZTQ1N2EwZWJlYTE5NGFiZTQifQ=="/>
  </w:docVars>
  <w:rsids>
    <w:rsidRoot w:val="00D70FD8"/>
    <w:rsid w:val="000651D1"/>
    <w:rsid w:val="001370DC"/>
    <w:rsid w:val="0016691B"/>
    <w:rsid w:val="001D0E7C"/>
    <w:rsid w:val="001D1E4D"/>
    <w:rsid w:val="001D6BE2"/>
    <w:rsid w:val="00261DC2"/>
    <w:rsid w:val="00272E90"/>
    <w:rsid w:val="002B5879"/>
    <w:rsid w:val="002B647E"/>
    <w:rsid w:val="00302907"/>
    <w:rsid w:val="00315F14"/>
    <w:rsid w:val="003E2923"/>
    <w:rsid w:val="00411380"/>
    <w:rsid w:val="00450CF7"/>
    <w:rsid w:val="004A5F4C"/>
    <w:rsid w:val="004C327A"/>
    <w:rsid w:val="00571BB6"/>
    <w:rsid w:val="00581301"/>
    <w:rsid w:val="00666E33"/>
    <w:rsid w:val="0069226A"/>
    <w:rsid w:val="007563D7"/>
    <w:rsid w:val="007B2970"/>
    <w:rsid w:val="009724D0"/>
    <w:rsid w:val="009C0A82"/>
    <w:rsid w:val="009E568E"/>
    <w:rsid w:val="00A74B16"/>
    <w:rsid w:val="00A8427C"/>
    <w:rsid w:val="00AD591D"/>
    <w:rsid w:val="00B075F9"/>
    <w:rsid w:val="00B364A3"/>
    <w:rsid w:val="00B762B6"/>
    <w:rsid w:val="00BC27EB"/>
    <w:rsid w:val="00CB5CD6"/>
    <w:rsid w:val="00D526C0"/>
    <w:rsid w:val="00D64517"/>
    <w:rsid w:val="00D70FD8"/>
    <w:rsid w:val="00E022A4"/>
    <w:rsid w:val="00E24A0C"/>
    <w:rsid w:val="00E62C5E"/>
    <w:rsid w:val="00EE78DF"/>
    <w:rsid w:val="00F30CDF"/>
    <w:rsid w:val="00FA1663"/>
    <w:rsid w:val="00FE5CCB"/>
    <w:rsid w:val="0F4B3825"/>
    <w:rsid w:val="14077778"/>
    <w:rsid w:val="1FFD779A"/>
    <w:rsid w:val="264C5EB4"/>
    <w:rsid w:val="2D6F5F34"/>
    <w:rsid w:val="2DF7FDCB"/>
    <w:rsid w:val="2F894E08"/>
    <w:rsid w:val="4FDB4259"/>
    <w:rsid w:val="55BB7908"/>
    <w:rsid w:val="5B9D7A25"/>
    <w:rsid w:val="5DC5DF51"/>
    <w:rsid w:val="5E745798"/>
    <w:rsid w:val="637E062C"/>
    <w:rsid w:val="6DDA4E3D"/>
    <w:rsid w:val="75F7A903"/>
    <w:rsid w:val="76DD29F3"/>
    <w:rsid w:val="7AEB53BD"/>
    <w:rsid w:val="7B5BDB1D"/>
    <w:rsid w:val="7B7AAF47"/>
    <w:rsid w:val="7BFF6630"/>
    <w:rsid w:val="7DA7D103"/>
    <w:rsid w:val="7DB3370E"/>
    <w:rsid w:val="7FDFA9A8"/>
    <w:rsid w:val="7FF3B6FB"/>
    <w:rsid w:val="7FF53E31"/>
    <w:rsid w:val="BCEF5B09"/>
    <w:rsid w:val="DB6FE94D"/>
    <w:rsid w:val="DBB6BF03"/>
    <w:rsid w:val="EBF6679E"/>
    <w:rsid w:val="EEF79DAD"/>
    <w:rsid w:val="EF54DDE5"/>
    <w:rsid w:val="F2EDF2D1"/>
    <w:rsid w:val="F79F6643"/>
    <w:rsid w:val="F7FF4B32"/>
    <w:rsid w:val="FDF33E96"/>
    <w:rsid w:val="FF7FBC1B"/>
    <w:rsid w:val="FFBBB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100" w:beforeAutospacing="1" w:after="100" w:afterAutospacing="1"/>
      <w:outlineLvl w:val="0"/>
    </w:pPr>
    <w:rPr>
      <w:rFonts w:ascii="宋体" w:hAnsi="宋体" w:eastAsia="宋体" w:cs="宋体"/>
      <w:b/>
      <w:bCs/>
      <w:kern w:val="44"/>
      <w:sz w:val="32"/>
      <w:szCs w:val="32"/>
    </w:rPr>
  </w:style>
  <w:style w:type="paragraph" w:styleId="4">
    <w:name w:val="heading 2"/>
    <w:basedOn w:val="1"/>
    <w:next w:val="1"/>
    <w:link w:val="18"/>
    <w:unhideWhenUsed/>
    <w:qFormat/>
    <w:uiPriority w:val="9"/>
    <w:pPr>
      <w:keepNext/>
      <w:keepLines/>
      <w:spacing w:before="100" w:beforeAutospacing="1" w:after="100" w:afterAutospacing="1"/>
      <w:outlineLvl w:val="1"/>
    </w:pPr>
    <w:rPr>
      <w:rFonts w:ascii="宋体" w:hAnsi="宋体" w:eastAsia="宋体" w:cs="宋体"/>
      <w:b/>
      <w:bCs/>
      <w:sz w:val="24"/>
      <w:szCs w:val="28"/>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5">
    <w:name w:val="Normal Indent"/>
    <w:basedOn w:val="1"/>
    <w:unhideWhenUsed/>
    <w:qFormat/>
    <w:uiPriority w:val="99"/>
    <w:pPr>
      <w:ind w:firstLine="420" w:firstLineChars="2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semiHidden/>
    <w:unhideWhenUsed/>
    <w:qFormat/>
    <w:uiPriority w:val="99"/>
    <w:rPr>
      <w:color w:val="0066CC"/>
      <w:u w:val="none"/>
    </w:rPr>
  </w:style>
  <w:style w:type="paragraph" w:customStyle="1" w:styleId="12">
    <w:name w:val="正文缩进1"/>
    <w:basedOn w:val="1"/>
    <w:qFormat/>
    <w:uiPriority w:val="0"/>
    <w:pPr>
      <w:ind w:firstLine="420" w:firstLineChars="200"/>
    </w:p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customStyle="1" w:styleId="15">
    <w:name w:val="列表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FZFangSong-Z02S" w:hAnsi="FZFangSong-Z02S" w:cs="FZFangSong-Z02S" w:eastAsiaTheme="minorEastAsia"/>
      <w:color w:val="000000"/>
      <w:sz w:val="24"/>
      <w:szCs w:val="24"/>
      <w:lang w:val="en-US" w:eastAsia="zh-CN" w:bidi="ar-SA"/>
    </w:rPr>
  </w:style>
  <w:style w:type="character" w:customStyle="1" w:styleId="17">
    <w:name w:val="标题 1 字符"/>
    <w:basedOn w:val="10"/>
    <w:link w:val="3"/>
    <w:qFormat/>
    <w:uiPriority w:val="9"/>
    <w:rPr>
      <w:rFonts w:ascii="宋体" w:hAnsi="宋体" w:eastAsia="宋体" w:cs="宋体"/>
      <w:b/>
      <w:bCs/>
      <w:kern w:val="44"/>
      <w:sz w:val="32"/>
      <w:szCs w:val="32"/>
    </w:rPr>
  </w:style>
  <w:style w:type="character" w:customStyle="1" w:styleId="18">
    <w:name w:val="标题 2 字符"/>
    <w:basedOn w:val="10"/>
    <w:link w:val="4"/>
    <w:qFormat/>
    <w:uiPriority w:val="9"/>
    <w:rPr>
      <w:rFonts w:ascii="宋体" w:hAnsi="宋体" w:eastAsia="宋体" w:cs="宋体"/>
      <w:b/>
      <w:bCs/>
      <w:sz w:val="24"/>
      <w:szCs w:val="28"/>
    </w:rPr>
  </w:style>
  <w:style w:type="paragraph" w:customStyle="1" w:styleId="19">
    <w:name w:val="无间隔1"/>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字符"/>
    <w:basedOn w:val="10"/>
    <w:link w:val="19"/>
    <w:qFormat/>
    <w:uiPriority w:val="1"/>
    <w:rPr>
      <w:kern w:val="0"/>
      <w:sz w:val="22"/>
    </w:rPr>
  </w:style>
  <w:style w:type="paragraph" w:customStyle="1" w:styleId="21">
    <w:name w:val="msolistparagraph"/>
    <w:basedOn w:val="1"/>
    <w:qFormat/>
    <w:uiPriority w:val="0"/>
    <w:pPr>
      <w:ind w:firstLine="420" w:firstLineChars="200"/>
    </w:pPr>
    <w:rPr>
      <w:rFonts w:hint="eastAsia" w:ascii="等线" w:hAnsi="等线" w:eastAsia="等线" w:cs="Times New Roman"/>
      <w:sz w:val="24"/>
      <w:szCs w:val="24"/>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character" w:customStyle="1" w:styleId="23">
    <w:name w:val="dropdown"/>
    <w:basedOn w:val="10"/>
    <w:qFormat/>
    <w:uiPriority w:val="0"/>
  </w:style>
  <w:style w:type="character" w:customStyle="1" w:styleId="24">
    <w:name w:val="dropdown1"/>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4033</Words>
  <Characters>4159</Characters>
  <Lines>26</Lines>
  <Paragraphs>7</Paragraphs>
  <TotalTime>1</TotalTime>
  <ScaleCrop>false</ScaleCrop>
  <LinksUpToDate>false</LinksUpToDate>
  <CharactersWithSpaces>4207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2021-09-13T20:17:00Z</dcterms:created>
  <dc:creator>黄 东阳</dc:creator>
  <cp:lastModifiedBy>方维钦</cp:lastModifiedBy>
  <dcterms:modified xsi:type="dcterms:W3CDTF">2022-09-25T23:32:44Z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0B995370BF064DDF9B96BA2C84E85F73</vt:lpwstr>
  </property>
</Properties>
</file>